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7F" w:rsidRPr="00B12B9D" w:rsidRDefault="00D6037F" w:rsidP="00D6037F">
      <w:pPr>
        <w:jc w:val="center"/>
        <w:rPr>
          <w:b/>
          <w:sz w:val="32"/>
        </w:rPr>
      </w:pPr>
      <w:r w:rsidRPr="00B12B9D">
        <w:rPr>
          <w:b/>
          <w:sz w:val="32"/>
        </w:rPr>
        <w:t>PŘÍPRAVA</w:t>
      </w:r>
    </w:p>
    <w:p w:rsidR="00D6037F" w:rsidRPr="00836CFA" w:rsidRDefault="00D6037F" w:rsidP="00D6037F">
      <w:pPr>
        <w:jc w:val="center"/>
        <w:rPr>
          <w:b/>
        </w:rPr>
      </w:pPr>
      <w:r w:rsidRPr="00836CFA">
        <w:rPr>
          <w:b/>
        </w:rPr>
        <w:t>INTEGROVANÉ STRATEGIE KARLOVARSKÉ AGLOMERACE PRO OBDOBÍ 2021-2027</w:t>
      </w:r>
    </w:p>
    <w:p w:rsidR="00D6037F" w:rsidRDefault="00D6037F" w:rsidP="00D6037F">
      <w:pPr>
        <w:jc w:val="center"/>
        <w:rPr>
          <w:b/>
          <w:sz w:val="36"/>
        </w:rPr>
      </w:pPr>
      <w:r w:rsidRPr="00836CFA">
        <w:rPr>
          <w:b/>
          <w:sz w:val="36"/>
        </w:rPr>
        <w:t>STATUT A JEDNACÍ ŘÁD PRACOVNÍCH SKUPIN</w:t>
      </w:r>
    </w:p>
    <w:p w:rsidR="00836CFA" w:rsidRPr="00836CFA" w:rsidRDefault="00836CFA" w:rsidP="00D6037F">
      <w:pPr>
        <w:jc w:val="center"/>
        <w:rPr>
          <w:b/>
          <w:sz w:val="36"/>
        </w:rPr>
      </w:pPr>
    </w:p>
    <w:p w:rsidR="00D6037F" w:rsidRPr="00EB1007" w:rsidRDefault="00D6037F" w:rsidP="00EB1007">
      <w:pPr>
        <w:jc w:val="center"/>
        <w:rPr>
          <w:b/>
        </w:rPr>
      </w:pPr>
      <w:r w:rsidRPr="00EB1007">
        <w:rPr>
          <w:b/>
        </w:rPr>
        <w:t>Čl. I</w:t>
      </w:r>
    </w:p>
    <w:p w:rsidR="00D6037F" w:rsidRPr="00D6037F" w:rsidRDefault="00D6037F" w:rsidP="00EB1007">
      <w:pPr>
        <w:spacing w:line="240" w:lineRule="auto"/>
        <w:jc w:val="center"/>
        <w:rPr>
          <w:b/>
        </w:rPr>
      </w:pPr>
      <w:r w:rsidRPr="00D6037F">
        <w:rPr>
          <w:b/>
        </w:rPr>
        <w:t>Účel a zřízení pracovní skupiny</w:t>
      </w:r>
    </w:p>
    <w:p w:rsidR="00D6037F" w:rsidRDefault="00D6037F" w:rsidP="00EB1007">
      <w:pPr>
        <w:pStyle w:val="Odstavecseseznamem"/>
        <w:numPr>
          <w:ilvl w:val="1"/>
          <w:numId w:val="1"/>
        </w:numPr>
        <w:spacing w:line="240" w:lineRule="auto"/>
        <w:ind w:left="357"/>
        <w:jc w:val="both"/>
      </w:pPr>
      <w:r>
        <w:t xml:space="preserve">Pracovní skupina je zřízena v souladu s partnerským přístupem k přípravě Integrované strategie Karlovarské aglomerace pro období 2021-2027 (dále jen </w:t>
      </w:r>
      <w:proofErr w:type="spellStart"/>
      <w:r>
        <w:t>ISg</w:t>
      </w:r>
      <w:proofErr w:type="spellEnd"/>
      <w:r>
        <w:t xml:space="preserve"> ITIKV°) na základě analýzy </w:t>
      </w:r>
      <w:proofErr w:type="spellStart"/>
      <w:r>
        <w:t>stakeholderů</w:t>
      </w:r>
      <w:proofErr w:type="spellEnd"/>
      <w:r>
        <w:t xml:space="preserve"> a se zohledněním zájmu podílet se na tvorbě </w:t>
      </w:r>
      <w:proofErr w:type="spellStart"/>
      <w:r>
        <w:t>ISg</w:t>
      </w:r>
      <w:proofErr w:type="spellEnd"/>
      <w:r>
        <w:t xml:space="preserve"> ITIKV°  ze  strany jednotlivých aktérů.</w:t>
      </w:r>
    </w:p>
    <w:p w:rsidR="00D6037F" w:rsidRDefault="00D6037F" w:rsidP="00EB1007">
      <w:pPr>
        <w:pStyle w:val="Odstavecseseznamem"/>
        <w:spacing w:line="240" w:lineRule="auto"/>
        <w:ind w:left="357"/>
        <w:jc w:val="both"/>
      </w:pPr>
    </w:p>
    <w:p w:rsidR="00D6037F" w:rsidRDefault="00D6037F" w:rsidP="00EB1007">
      <w:pPr>
        <w:pStyle w:val="Odstavecseseznamem"/>
        <w:numPr>
          <w:ilvl w:val="1"/>
          <w:numId w:val="1"/>
        </w:numPr>
        <w:spacing w:line="240" w:lineRule="auto"/>
        <w:ind w:left="357"/>
        <w:jc w:val="both"/>
      </w:pPr>
      <w:r>
        <w:t xml:space="preserve">Pracovní skupina je klíčovou platformou pro tvorbu </w:t>
      </w:r>
      <w:proofErr w:type="spellStart"/>
      <w:r>
        <w:t>ISg</w:t>
      </w:r>
      <w:proofErr w:type="spellEnd"/>
      <w:r>
        <w:t xml:space="preserve"> ITIKV°, neboť jejím účelem je poskytovat zpětnou vazbu z území k dílčím výstupům, pomáhat efektivně zacílit </w:t>
      </w:r>
      <w:proofErr w:type="spellStart"/>
      <w:r>
        <w:t>ISg</w:t>
      </w:r>
      <w:proofErr w:type="spellEnd"/>
      <w:r>
        <w:t xml:space="preserve"> ITIKV° a v rámci její činnosti se odehrává diskuze o </w:t>
      </w:r>
      <w:r w:rsidR="00091A01">
        <w:t xml:space="preserve">jednotlivých projektových záměrech a </w:t>
      </w:r>
      <w:r>
        <w:t>integrovaných řešeních</w:t>
      </w:r>
      <w:r w:rsidR="00482F91">
        <w:t xml:space="preserve"> rozvoje aglomerace</w:t>
      </w:r>
      <w:r>
        <w:t>, což je základní princip pro realizaci nástroje ITI.</w:t>
      </w:r>
    </w:p>
    <w:p w:rsidR="00EB1007" w:rsidRPr="00836CFA" w:rsidRDefault="00EB1007" w:rsidP="00EB1007">
      <w:pPr>
        <w:pStyle w:val="Odstavecseseznamem"/>
        <w:rPr>
          <w:sz w:val="16"/>
        </w:rPr>
      </w:pPr>
    </w:p>
    <w:p w:rsidR="00EB1007" w:rsidRPr="00836CFA" w:rsidRDefault="00EB1007" w:rsidP="00EB1007">
      <w:pPr>
        <w:pStyle w:val="Odstavecseseznamem"/>
        <w:spacing w:line="240" w:lineRule="auto"/>
        <w:ind w:left="357"/>
        <w:jc w:val="both"/>
        <w:rPr>
          <w:sz w:val="18"/>
        </w:rPr>
      </w:pPr>
    </w:p>
    <w:p w:rsidR="00D6037F" w:rsidRDefault="00D6037F" w:rsidP="00EB1007">
      <w:pPr>
        <w:pStyle w:val="Odstavecseseznamem"/>
        <w:numPr>
          <w:ilvl w:val="1"/>
          <w:numId w:val="1"/>
        </w:numPr>
        <w:spacing w:line="240" w:lineRule="auto"/>
        <w:ind w:left="357"/>
        <w:jc w:val="both"/>
      </w:pPr>
      <w:r>
        <w:t>Pracovní skupin</w:t>
      </w:r>
      <w:r w:rsidR="00091A01">
        <w:t>a</w:t>
      </w:r>
      <w:r w:rsidR="006332C6">
        <w:t xml:space="preserve"> je zřízena jako</w:t>
      </w:r>
      <w:r>
        <w:t xml:space="preserve"> poradní orgán </w:t>
      </w:r>
      <w:r w:rsidR="00A26DDD">
        <w:t>Přípravn</w:t>
      </w:r>
      <w:r w:rsidR="006332C6">
        <w:t>ého</w:t>
      </w:r>
      <w:r w:rsidR="00A26DDD">
        <w:t xml:space="preserve"> ř</w:t>
      </w:r>
      <w:r>
        <w:t>ídicí</w:t>
      </w:r>
      <w:r w:rsidR="006332C6">
        <w:t>ho</w:t>
      </w:r>
      <w:r>
        <w:t xml:space="preserve"> výbor</w:t>
      </w:r>
      <w:r w:rsidR="006332C6">
        <w:t>u</w:t>
      </w:r>
      <w:r>
        <w:t xml:space="preserve"> </w:t>
      </w:r>
      <w:r w:rsidR="00A26DDD">
        <w:t xml:space="preserve">ITIKV° </w:t>
      </w:r>
      <w:r>
        <w:t>v souladu s</w:t>
      </w:r>
      <w:r w:rsidR="00EB1007">
        <w:t> </w:t>
      </w:r>
      <w:r>
        <w:t>principy dle Čl. II statutu a jednacího řádu pracovních skupin.</w:t>
      </w:r>
    </w:p>
    <w:p w:rsidR="00D6037F" w:rsidRDefault="00D6037F" w:rsidP="00EB1007">
      <w:pPr>
        <w:pStyle w:val="Odstavecseseznamem"/>
        <w:spacing w:line="240" w:lineRule="auto"/>
        <w:ind w:left="357"/>
        <w:jc w:val="both"/>
      </w:pPr>
    </w:p>
    <w:p w:rsidR="00D6037F" w:rsidRDefault="00D6037F" w:rsidP="00EB1007">
      <w:pPr>
        <w:pStyle w:val="Odstavecseseznamem"/>
        <w:spacing w:line="240" w:lineRule="auto"/>
        <w:ind w:left="360"/>
      </w:pPr>
    </w:p>
    <w:p w:rsidR="00D6037F" w:rsidRDefault="00D6037F" w:rsidP="00EB1007">
      <w:pPr>
        <w:pStyle w:val="Odstavecseseznamem"/>
        <w:spacing w:line="240" w:lineRule="auto"/>
        <w:ind w:left="360"/>
      </w:pPr>
    </w:p>
    <w:p w:rsidR="00D6037F" w:rsidRPr="00EB1007" w:rsidRDefault="00D6037F" w:rsidP="00EB1007">
      <w:pPr>
        <w:spacing w:line="240" w:lineRule="auto"/>
        <w:jc w:val="center"/>
        <w:rPr>
          <w:b/>
        </w:rPr>
      </w:pPr>
      <w:r w:rsidRPr="00EB1007">
        <w:rPr>
          <w:b/>
        </w:rPr>
        <w:t>Čl. II</w:t>
      </w:r>
    </w:p>
    <w:p w:rsidR="00D6037F" w:rsidRPr="00EB1007" w:rsidRDefault="00D6037F" w:rsidP="00EB1007">
      <w:pPr>
        <w:spacing w:line="240" w:lineRule="auto"/>
        <w:jc w:val="center"/>
        <w:rPr>
          <w:b/>
        </w:rPr>
      </w:pPr>
      <w:r w:rsidRPr="00EB1007">
        <w:rPr>
          <w:b/>
        </w:rPr>
        <w:t>Složení pracovní skupiny</w:t>
      </w:r>
    </w:p>
    <w:p w:rsidR="00D6037F" w:rsidRPr="00EB1007" w:rsidRDefault="00D6037F" w:rsidP="000D64C3">
      <w:pPr>
        <w:tabs>
          <w:tab w:val="left" w:pos="0"/>
        </w:tabs>
        <w:spacing w:line="240" w:lineRule="auto"/>
        <w:ind w:left="426" w:hanging="426"/>
        <w:jc w:val="both"/>
      </w:pPr>
      <w:r w:rsidRPr="00EB1007">
        <w:t>2.1</w:t>
      </w:r>
      <w:r w:rsidRPr="00EB1007">
        <w:rPr>
          <w:b/>
        </w:rPr>
        <w:t xml:space="preserve"> </w:t>
      </w:r>
      <w:r w:rsidR="00A26DDD">
        <w:rPr>
          <w:b/>
        </w:rPr>
        <w:t xml:space="preserve"> </w:t>
      </w:r>
      <w:r w:rsidR="000D64C3" w:rsidRPr="00EB1007">
        <w:t>Řádnými  členy  pracovních  skupin  jsou  zejména  nositelé  projektových  záměrů,  zastřešující asociace a organizace, které sdružují řadu dílčích aktérů v území (např. neziskové organizace) a</w:t>
      </w:r>
      <w:r w:rsidR="000D64C3">
        <w:t> </w:t>
      </w:r>
      <w:r w:rsidR="000D64C3" w:rsidRPr="00EB1007">
        <w:t>další klíčoví partneři pro řešení daného tématu v</w:t>
      </w:r>
      <w:r w:rsidR="000D64C3">
        <w:t> </w:t>
      </w:r>
      <w:r w:rsidR="000D64C3" w:rsidRPr="00EB1007">
        <w:t>aglomeraci</w:t>
      </w:r>
      <w:r w:rsidR="000D64C3">
        <w:t>, zejména experti a odborníci</w:t>
      </w:r>
      <w:r w:rsidR="000D64C3" w:rsidRPr="00EB1007">
        <w:t>.</w:t>
      </w:r>
      <w:r w:rsidR="000D64C3" w:rsidRPr="000D64C3">
        <w:t xml:space="preserve"> </w:t>
      </w:r>
      <w:r w:rsidR="000D64C3">
        <w:t xml:space="preserve">Řádní členové pracovních skupin mají hlasovací právo. </w:t>
      </w:r>
    </w:p>
    <w:p w:rsidR="00EB1007" w:rsidRPr="00EB1007" w:rsidRDefault="00EB1007" w:rsidP="00A14311">
      <w:pPr>
        <w:tabs>
          <w:tab w:val="left" w:pos="284"/>
        </w:tabs>
        <w:spacing w:line="240" w:lineRule="auto"/>
        <w:ind w:left="284" w:hanging="284"/>
        <w:jc w:val="both"/>
      </w:pPr>
    </w:p>
    <w:p w:rsidR="000D64C3" w:rsidRPr="00EB1007" w:rsidRDefault="00D6037F" w:rsidP="000D64C3">
      <w:pPr>
        <w:spacing w:line="240" w:lineRule="auto"/>
        <w:ind w:left="426" w:hanging="426"/>
        <w:jc w:val="both"/>
      </w:pPr>
      <w:r w:rsidRPr="00EB1007">
        <w:t>2.2</w:t>
      </w:r>
      <w:r w:rsidR="000D64C3" w:rsidRPr="00EB1007">
        <w:t xml:space="preserve">. Konkrétní jmenná nominace za řádného člena pracovní skupiny je plně v kompetenci nominované organizace či instituce a </w:t>
      </w:r>
      <w:r w:rsidR="00482F91">
        <w:t xml:space="preserve">může být z podnětu statutární zástupců </w:t>
      </w:r>
      <w:r w:rsidR="000D64C3" w:rsidRPr="00EB1007">
        <w:t xml:space="preserve">měněna. </w:t>
      </w:r>
      <w:r w:rsidR="00BD5B0B">
        <w:t xml:space="preserve">Nominace náhradníka řádného člena musí  být předem avizována. </w:t>
      </w:r>
    </w:p>
    <w:p w:rsidR="00EB1007" w:rsidRPr="00EB1007" w:rsidRDefault="00EB1007" w:rsidP="00BD5B0B">
      <w:pPr>
        <w:spacing w:line="240" w:lineRule="auto"/>
        <w:jc w:val="both"/>
      </w:pPr>
    </w:p>
    <w:p w:rsidR="000D64C3" w:rsidRDefault="00D6037F" w:rsidP="000D64C3">
      <w:pPr>
        <w:pStyle w:val="Odstavecseseznamem"/>
        <w:spacing w:line="240" w:lineRule="auto"/>
        <w:ind w:left="284" w:hanging="284"/>
        <w:jc w:val="both"/>
      </w:pPr>
      <w:r w:rsidRPr="00EB1007">
        <w:t xml:space="preserve">2.3 </w:t>
      </w:r>
      <w:r w:rsidR="000D64C3">
        <w:t xml:space="preserve">Další subjekty se mohou jednání pracovních skupin účastnit v roli hosta bez hlasovacího práva. Jedná se zejména o organizace a instituce, které nejsou přímo nositeli projektových záměrů, nicméně tyto záměry se jich mohou týkat. </w:t>
      </w:r>
    </w:p>
    <w:p w:rsidR="000D64C3" w:rsidRDefault="000D64C3" w:rsidP="000D64C3">
      <w:pPr>
        <w:pStyle w:val="Odstavecseseznamem"/>
        <w:spacing w:line="240" w:lineRule="auto"/>
        <w:ind w:left="284" w:hanging="284"/>
        <w:jc w:val="both"/>
      </w:pPr>
    </w:p>
    <w:p w:rsidR="00BD5B0B" w:rsidRPr="00EB1007" w:rsidRDefault="00BD5B0B" w:rsidP="00BD5B0B">
      <w:pPr>
        <w:tabs>
          <w:tab w:val="left" w:pos="0"/>
        </w:tabs>
        <w:spacing w:line="240" w:lineRule="auto"/>
        <w:ind w:left="426" w:hanging="426"/>
        <w:jc w:val="both"/>
      </w:pPr>
      <w:r w:rsidRPr="00BD5B0B">
        <w:t>2.4</w:t>
      </w:r>
      <w:r>
        <w:rPr>
          <w:b/>
        </w:rPr>
        <w:t xml:space="preserve"> </w:t>
      </w:r>
      <w:r>
        <w:t>S</w:t>
      </w:r>
      <w:r w:rsidRPr="00EB1007">
        <w:t xml:space="preserve">ložení pracovní skupiny </w:t>
      </w:r>
      <w:r>
        <w:t xml:space="preserve">může </w:t>
      </w:r>
      <w:r w:rsidRPr="00EB1007">
        <w:t>v odůvodněných případech měnit</w:t>
      </w:r>
      <w:r w:rsidRPr="000D64C3">
        <w:t xml:space="preserve"> </w:t>
      </w:r>
      <w:r>
        <w:t>Přípravný ř</w:t>
      </w:r>
      <w:r w:rsidRPr="00EB1007">
        <w:t>ídicí výbor ITIKV°.</w:t>
      </w:r>
    </w:p>
    <w:p w:rsidR="00EB1007" w:rsidRDefault="00BD5B0B" w:rsidP="00470566">
      <w:pPr>
        <w:spacing w:line="240" w:lineRule="auto"/>
        <w:ind w:left="284" w:hanging="284"/>
        <w:jc w:val="both"/>
      </w:pPr>
      <w:r w:rsidRPr="00BD5B0B">
        <w:t xml:space="preserve">2.5 </w:t>
      </w:r>
      <w:r w:rsidR="00482F91">
        <w:t xml:space="preserve"> Aktuální s</w:t>
      </w:r>
      <w:r w:rsidRPr="00EB1007">
        <w:t>ložení pracovní skupiny</w:t>
      </w:r>
      <w:r w:rsidR="00470566">
        <w:t xml:space="preserve"> je zveřejněno na </w:t>
      </w:r>
      <w:r w:rsidR="00470566" w:rsidRPr="00A26DDD">
        <w:rPr>
          <w:color w:val="0070C0"/>
          <w:u w:val="single"/>
        </w:rPr>
        <w:t>www.kvprojekty.cz</w:t>
      </w:r>
      <w:r w:rsidR="00470566">
        <w:rPr>
          <w:color w:val="0070C0"/>
          <w:u w:val="single"/>
        </w:rPr>
        <w:t>.</w:t>
      </w:r>
      <w:r w:rsidR="00470566">
        <w:t xml:space="preserve"> </w:t>
      </w:r>
    </w:p>
    <w:p w:rsidR="00EB1007" w:rsidRDefault="00EB1007" w:rsidP="00EB1007">
      <w:pPr>
        <w:pStyle w:val="Odstavecseseznamem"/>
        <w:spacing w:line="240" w:lineRule="auto"/>
        <w:ind w:left="284" w:hanging="284"/>
      </w:pPr>
    </w:p>
    <w:p w:rsidR="00EB1007" w:rsidRDefault="00EB1007" w:rsidP="00EB1007">
      <w:pPr>
        <w:pStyle w:val="Odstavecseseznamem"/>
        <w:spacing w:line="240" w:lineRule="auto"/>
        <w:ind w:left="284" w:hanging="284"/>
      </w:pPr>
    </w:p>
    <w:p w:rsidR="00EB1007" w:rsidRPr="00EB1007" w:rsidRDefault="00D6037F" w:rsidP="00EB1007">
      <w:pPr>
        <w:pStyle w:val="Odstavecseseznamem"/>
        <w:spacing w:line="240" w:lineRule="auto"/>
        <w:ind w:left="360" w:hanging="360"/>
        <w:jc w:val="center"/>
        <w:rPr>
          <w:b/>
        </w:rPr>
      </w:pPr>
      <w:r w:rsidRPr="00EB1007">
        <w:rPr>
          <w:b/>
        </w:rPr>
        <w:t>Čl. III</w:t>
      </w:r>
    </w:p>
    <w:p w:rsidR="00EB1007" w:rsidRDefault="00D6037F" w:rsidP="00EB1007">
      <w:pPr>
        <w:pStyle w:val="Odstavecseseznamem"/>
        <w:spacing w:line="240" w:lineRule="auto"/>
        <w:ind w:left="360" w:hanging="360"/>
        <w:jc w:val="center"/>
        <w:rPr>
          <w:b/>
        </w:rPr>
      </w:pPr>
      <w:r w:rsidRPr="00EB1007">
        <w:rPr>
          <w:b/>
        </w:rPr>
        <w:t>Jednání pracovní skupiny</w:t>
      </w:r>
    </w:p>
    <w:p w:rsidR="00A14311" w:rsidRPr="00EB1007" w:rsidRDefault="00A14311" w:rsidP="00A14311">
      <w:pPr>
        <w:pStyle w:val="Odstavecseseznamem"/>
        <w:spacing w:line="240" w:lineRule="auto"/>
        <w:ind w:left="360" w:hanging="360"/>
        <w:jc w:val="center"/>
        <w:rPr>
          <w:b/>
        </w:rPr>
      </w:pPr>
    </w:p>
    <w:p w:rsidR="00EB1007" w:rsidRDefault="00D6037F" w:rsidP="00A14311">
      <w:pPr>
        <w:spacing w:line="240" w:lineRule="auto"/>
        <w:ind w:left="426" w:hanging="426"/>
        <w:jc w:val="both"/>
      </w:pPr>
      <w:r>
        <w:t>3.1 Jednání pracovní skupiny vede příslušný tematický koordinátor ITI či manažer ITI, pokud k</w:t>
      </w:r>
      <w:r w:rsidR="00EB1007">
        <w:t xml:space="preserve"> </w:t>
      </w:r>
      <w:r>
        <w:t>vedení jednání nedelegují jinou osobu.</w:t>
      </w:r>
    </w:p>
    <w:p w:rsidR="00EB1007" w:rsidRDefault="00D6037F" w:rsidP="007F5B8C">
      <w:pPr>
        <w:spacing w:line="240" w:lineRule="auto"/>
        <w:ind w:left="284" w:hanging="284"/>
        <w:jc w:val="both"/>
      </w:pPr>
      <w:r>
        <w:t>3.2 Jednání pracovní skupiny probíhá prezenčně či v</w:t>
      </w:r>
      <w:r w:rsidR="00EB1007">
        <w:t xml:space="preserve"> </w:t>
      </w:r>
      <w:r>
        <w:t>online režimu, pokud je to s</w:t>
      </w:r>
      <w:r w:rsidR="00EB1007">
        <w:t xml:space="preserve"> </w:t>
      </w:r>
      <w:r>
        <w:t>ohledem na okolnosti žádoucí. Při svolání pracovní skupiny musí být její členové o formátu jednání jednoznačně informování.</w:t>
      </w:r>
    </w:p>
    <w:p w:rsidR="00EB1007" w:rsidRDefault="00D6037F" w:rsidP="007F5B8C">
      <w:pPr>
        <w:spacing w:line="240" w:lineRule="auto"/>
        <w:ind w:left="284" w:hanging="284"/>
        <w:jc w:val="both"/>
      </w:pPr>
      <w:r>
        <w:t>3.3</w:t>
      </w:r>
      <w:r w:rsidR="00EB1007">
        <w:t xml:space="preserve"> </w:t>
      </w:r>
      <w:r>
        <w:t>Pracovní skupina může přijímat usnesení vyplývající z</w:t>
      </w:r>
      <w:r w:rsidR="00EB1007">
        <w:t xml:space="preserve"> </w:t>
      </w:r>
      <w:r>
        <w:t>jejího účelu –</w:t>
      </w:r>
      <w:r w:rsidR="00EB1007">
        <w:t xml:space="preserve"> </w:t>
      </w:r>
      <w:r>
        <w:t xml:space="preserve">zejména se jedná o doporučení pro </w:t>
      </w:r>
      <w:r w:rsidR="00A26DDD">
        <w:t>Přípravný ř</w:t>
      </w:r>
      <w:r>
        <w:t>ídicí výbor ITI</w:t>
      </w:r>
      <w:r w:rsidR="00EB1007">
        <w:t>KV°</w:t>
      </w:r>
      <w:r>
        <w:t>, která reflektují</w:t>
      </w:r>
      <w:r w:rsidR="00EB1007">
        <w:t xml:space="preserve"> </w:t>
      </w:r>
      <w:r>
        <w:t>princip partnerství a pohled subjektů  dlouhodobě  působících  v</w:t>
      </w:r>
      <w:r w:rsidR="00EB1007">
        <w:t xml:space="preserve"> </w:t>
      </w:r>
      <w:r>
        <w:t>území  aglomerace.  Aby  byla  pracovní  skupina usnášeníschopná, musí být přítomn</w:t>
      </w:r>
      <w:r w:rsidR="00470566">
        <w:t>o</w:t>
      </w:r>
      <w:r>
        <w:t xml:space="preserve"> (ať již prezenčně či v</w:t>
      </w:r>
      <w:r w:rsidR="00EB1007">
        <w:t xml:space="preserve"> </w:t>
      </w:r>
      <w:r>
        <w:t>rámci online jednání)</w:t>
      </w:r>
      <w:r w:rsidR="00B3364B">
        <w:t xml:space="preserve"> </w:t>
      </w:r>
      <w:r w:rsidR="007F5B8C">
        <w:t xml:space="preserve">minimálně </w:t>
      </w:r>
      <w:r w:rsidR="008146CB">
        <w:t>50 %</w:t>
      </w:r>
      <w:bookmarkStart w:id="0" w:name="_GoBack"/>
      <w:bookmarkEnd w:id="0"/>
      <w:r w:rsidR="007F5B8C">
        <w:t xml:space="preserve"> řádných členů</w:t>
      </w:r>
      <w:r>
        <w:t xml:space="preserve"> s</w:t>
      </w:r>
      <w:r w:rsidR="00EB1007">
        <w:t xml:space="preserve"> </w:t>
      </w:r>
      <w:r>
        <w:t>hlasovacím právem.</w:t>
      </w:r>
    </w:p>
    <w:p w:rsidR="00EB1007" w:rsidRDefault="00D6037F" w:rsidP="007F5B8C">
      <w:pPr>
        <w:spacing w:line="240" w:lineRule="auto"/>
        <w:ind w:left="284" w:hanging="284"/>
        <w:jc w:val="both"/>
      </w:pPr>
      <w:r>
        <w:t>3.4</w:t>
      </w:r>
      <w:r w:rsidR="00EB1007">
        <w:t xml:space="preserve"> </w:t>
      </w:r>
      <w:r>
        <w:t>Pracovní  skupina  rozhoduje  úplným  konsensem  přítomných  členů.  Není-li  možné  úplného konsensu dosáhnout, rozhoduje</w:t>
      </w:r>
      <w:r w:rsidR="00EB1007">
        <w:t xml:space="preserve"> </w:t>
      </w:r>
      <w:r>
        <w:t xml:space="preserve">souhlas prosté většiny přítomných členů. </w:t>
      </w:r>
    </w:p>
    <w:p w:rsidR="00EB1007" w:rsidRDefault="00D6037F" w:rsidP="00A14311">
      <w:pPr>
        <w:spacing w:line="240" w:lineRule="auto"/>
        <w:ind w:left="426" w:hanging="426"/>
        <w:jc w:val="both"/>
      </w:pPr>
      <w:r>
        <w:t>3.5</w:t>
      </w:r>
      <w:r w:rsidR="00EB1007">
        <w:t xml:space="preserve"> </w:t>
      </w:r>
      <w:r>
        <w:t>V</w:t>
      </w:r>
      <w:r w:rsidR="00EB1007">
        <w:t xml:space="preserve"> </w:t>
      </w:r>
      <w:r>
        <w:t>případě nutnosti</w:t>
      </w:r>
      <w:r w:rsidR="00EB1007">
        <w:t xml:space="preserve"> </w:t>
      </w:r>
      <w:r>
        <w:t xml:space="preserve">je možné rozhodovat elektronickou cestou, tzv. per </w:t>
      </w:r>
      <w:proofErr w:type="spellStart"/>
      <w:r>
        <w:t>rollam</w:t>
      </w:r>
      <w:proofErr w:type="spellEnd"/>
      <w:r>
        <w:t>. V</w:t>
      </w:r>
      <w:r w:rsidR="00EB1007">
        <w:t xml:space="preserve"> </w:t>
      </w:r>
      <w:r>
        <w:t>dokumentu, který je takto členům pracovní skupiny zaslán, to musí být výslovně uvedeno.</w:t>
      </w:r>
    </w:p>
    <w:p w:rsidR="00EB1007" w:rsidRDefault="00D6037F" w:rsidP="00A14311">
      <w:pPr>
        <w:spacing w:line="240" w:lineRule="auto"/>
        <w:ind w:left="426" w:hanging="426"/>
        <w:jc w:val="both"/>
      </w:pPr>
      <w:r>
        <w:t>3.6</w:t>
      </w:r>
      <w:r w:rsidR="00EB1007">
        <w:t xml:space="preserve"> </w:t>
      </w:r>
      <w:r>
        <w:t>Z</w:t>
      </w:r>
      <w:r w:rsidR="006571D6">
        <w:t xml:space="preserve"> </w:t>
      </w:r>
      <w:r>
        <w:t>jednání pracovní skupiny je pořizován</w:t>
      </w:r>
      <w:r w:rsidR="00EB1007">
        <w:t xml:space="preserve"> </w:t>
      </w:r>
      <w:r>
        <w:t>zápis, který mohou účastníci jednání pracovní skupiny připomínkovat.  Vypořádání  připomínek  provádí  tematický  koordinátor  ve  spolupráci s</w:t>
      </w:r>
      <w:r w:rsidR="00A14311">
        <w:t> </w:t>
      </w:r>
      <w:r>
        <w:t>manažerem ITI.</w:t>
      </w:r>
    </w:p>
    <w:p w:rsidR="00EB1007" w:rsidRDefault="00D6037F" w:rsidP="00A14311">
      <w:pPr>
        <w:spacing w:line="240" w:lineRule="auto"/>
        <w:ind w:left="426" w:hanging="426"/>
        <w:jc w:val="both"/>
      </w:pPr>
      <w:r>
        <w:t>3.7</w:t>
      </w:r>
      <w:r w:rsidR="00EB1007">
        <w:t xml:space="preserve"> </w:t>
      </w:r>
      <w:r>
        <w:t>Finální zápis zjednání je spolu s</w:t>
      </w:r>
      <w:r w:rsidR="00EB1007">
        <w:t xml:space="preserve"> </w:t>
      </w:r>
      <w:r>
        <w:t xml:space="preserve">prezenční listinou zveřejněn na </w:t>
      </w:r>
      <w:r w:rsidRPr="00A26DDD">
        <w:rPr>
          <w:color w:val="0070C0"/>
          <w:u w:val="single"/>
        </w:rPr>
        <w:t>www.</w:t>
      </w:r>
      <w:r w:rsidR="00EB1007" w:rsidRPr="00A26DDD">
        <w:rPr>
          <w:color w:val="0070C0"/>
          <w:u w:val="single"/>
        </w:rPr>
        <w:t>kvprojekty.cz</w:t>
      </w:r>
      <w:r>
        <w:t>. V</w:t>
      </w:r>
      <w:r w:rsidR="00EB1007">
        <w:t xml:space="preserve"> </w:t>
      </w:r>
      <w:r>
        <w:t xml:space="preserve">případě online režimu  nahrazuje  prezenční  listinu  přepis  zúčastněných  osob  dle  </w:t>
      </w:r>
      <w:proofErr w:type="spellStart"/>
      <w:r>
        <w:t>prin</w:t>
      </w:r>
      <w:r w:rsidR="0022034C">
        <w:t>t</w:t>
      </w:r>
      <w:r>
        <w:t>screenů</w:t>
      </w:r>
      <w:proofErr w:type="spellEnd"/>
      <w:r>
        <w:t xml:space="preserve">  pořízených v</w:t>
      </w:r>
      <w:r w:rsidR="00EB1007">
        <w:t> </w:t>
      </w:r>
      <w:r>
        <w:t>rámci</w:t>
      </w:r>
      <w:r w:rsidR="00EB1007">
        <w:t xml:space="preserve"> </w:t>
      </w:r>
      <w:r>
        <w:t xml:space="preserve">online jednání. </w:t>
      </w:r>
    </w:p>
    <w:p w:rsidR="00BD5B0B" w:rsidRDefault="00BD5B0B" w:rsidP="00BD5B0B">
      <w:pPr>
        <w:spacing w:line="240" w:lineRule="auto"/>
        <w:jc w:val="both"/>
      </w:pPr>
    </w:p>
    <w:p w:rsidR="00A14311" w:rsidRDefault="00A14311" w:rsidP="00A14311">
      <w:pPr>
        <w:spacing w:line="240" w:lineRule="auto"/>
        <w:ind w:left="426" w:hanging="426"/>
        <w:jc w:val="both"/>
      </w:pPr>
    </w:p>
    <w:p w:rsidR="00EB1007" w:rsidRPr="00A14311" w:rsidRDefault="00D6037F" w:rsidP="00A14311">
      <w:pPr>
        <w:spacing w:line="240" w:lineRule="auto"/>
        <w:ind w:left="284" w:hanging="284"/>
        <w:jc w:val="center"/>
        <w:rPr>
          <w:b/>
        </w:rPr>
      </w:pPr>
      <w:r w:rsidRPr="00A14311">
        <w:rPr>
          <w:b/>
        </w:rPr>
        <w:t>Čl. IV</w:t>
      </w:r>
    </w:p>
    <w:p w:rsidR="00EB1007" w:rsidRPr="00A14311" w:rsidRDefault="00D6037F" w:rsidP="00A14311">
      <w:pPr>
        <w:spacing w:line="240" w:lineRule="auto"/>
        <w:ind w:left="284" w:hanging="284"/>
        <w:jc w:val="center"/>
        <w:rPr>
          <w:b/>
        </w:rPr>
      </w:pPr>
      <w:r w:rsidRPr="00A14311">
        <w:rPr>
          <w:b/>
        </w:rPr>
        <w:t>Závěrečná ustanovení</w:t>
      </w:r>
    </w:p>
    <w:p w:rsidR="00EB1007" w:rsidRDefault="00D6037F" w:rsidP="00A14311">
      <w:pPr>
        <w:spacing w:line="240" w:lineRule="auto"/>
        <w:ind w:left="284" w:hanging="284"/>
        <w:jc w:val="both"/>
      </w:pPr>
      <w:r>
        <w:t>4.1</w:t>
      </w:r>
      <w:r w:rsidR="00EB1007">
        <w:t xml:space="preserve"> </w:t>
      </w:r>
      <w:r>
        <w:t>Tento statut a jednací řád schvaluje</w:t>
      </w:r>
      <w:r w:rsidR="00A26DDD">
        <w:t xml:space="preserve"> Přípravný</w:t>
      </w:r>
      <w:r>
        <w:t xml:space="preserve"> </w:t>
      </w:r>
      <w:r w:rsidR="00A26DDD">
        <w:t>ř</w:t>
      </w:r>
      <w:r>
        <w:t>ídicí výbor ITI</w:t>
      </w:r>
      <w:r w:rsidR="00EB1007">
        <w:t xml:space="preserve">KV°, který je rovněž oprávněn </w:t>
      </w:r>
      <w:r w:rsidR="00A26DDD">
        <w:t>jej</w:t>
      </w:r>
      <w:r w:rsidR="00EB1007">
        <w:t xml:space="preserve"> </w:t>
      </w:r>
      <w:r>
        <w:t>měnit.</w:t>
      </w:r>
    </w:p>
    <w:p w:rsidR="009447C3" w:rsidRDefault="00D6037F" w:rsidP="00A14311">
      <w:pPr>
        <w:spacing w:line="240" w:lineRule="auto"/>
        <w:ind w:left="284" w:hanging="284"/>
        <w:jc w:val="both"/>
      </w:pPr>
      <w:r>
        <w:t>4.2</w:t>
      </w:r>
      <w:r w:rsidR="00EB1007">
        <w:t xml:space="preserve"> </w:t>
      </w:r>
      <w:r>
        <w:t>Účastí na jednání pracovní skupiny vyjadřují její členové souhlas s</w:t>
      </w:r>
      <w:r w:rsidR="00EB1007">
        <w:t xml:space="preserve"> </w:t>
      </w:r>
      <w:r>
        <w:t>tímto Statutem a jednacím řádem pracovních skupin.</w:t>
      </w:r>
    </w:p>
    <w:p w:rsidR="00EB1007" w:rsidRDefault="00EB1007" w:rsidP="00A14311">
      <w:pPr>
        <w:spacing w:line="240" w:lineRule="auto"/>
        <w:ind w:left="284" w:hanging="284"/>
        <w:jc w:val="both"/>
      </w:pPr>
    </w:p>
    <w:p w:rsidR="00EB1007" w:rsidRDefault="00EB1007" w:rsidP="00A14311">
      <w:pPr>
        <w:spacing w:after="0" w:line="240" w:lineRule="auto"/>
        <w:ind w:firstLine="5954"/>
        <w:jc w:val="both"/>
      </w:pPr>
      <w:r>
        <w:t xml:space="preserve">Odbor strategií a dotací </w:t>
      </w:r>
    </w:p>
    <w:p w:rsidR="00EB1007" w:rsidRDefault="00EB1007" w:rsidP="00A14311">
      <w:pPr>
        <w:spacing w:after="0" w:line="240" w:lineRule="auto"/>
        <w:ind w:firstLine="5954"/>
        <w:jc w:val="both"/>
      </w:pPr>
      <w:r>
        <w:t>Magistrát města Karlovy Vary</w:t>
      </w:r>
    </w:p>
    <w:p w:rsidR="00EB1007" w:rsidRDefault="00EB1007" w:rsidP="00A14311">
      <w:pPr>
        <w:spacing w:line="240" w:lineRule="auto"/>
        <w:ind w:left="284" w:hanging="284"/>
        <w:jc w:val="both"/>
      </w:pPr>
    </w:p>
    <w:sectPr w:rsidR="00EB10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9D" w:rsidRDefault="00B12B9D" w:rsidP="00B12B9D">
      <w:pPr>
        <w:spacing w:after="0" w:line="240" w:lineRule="auto"/>
      </w:pPr>
      <w:r>
        <w:separator/>
      </w:r>
    </w:p>
  </w:endnote>
  <w:endnote w:type="continuationSeparator" w:id="0">
    <w:p w:rsidR="00B12B9D" w:rsidRDefault="00B12B9D" w:rsidP="00B1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9D" w:rsidRDefault="00B12B9D" w:rsidP="00B12B9D">
      <w:pPr>
        <w:spacing w:after="0" w:line="240" w:lineRule="auto"/>
      </w:pPr>
      <w:r>
        <w:separator/>
      </w:r>
    </w:p>
  </w:footnote>
  <w:footnote w:type="continuationSeparator" w:id="0">
    <w:p w:rsidR="00B12B9D" w:rsidRDefault="00B12B9D" w:rsidP="00B1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9D" w:rsidRDefault="00B12B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-45085</wp:posOffset>
          </wp:positionV>
          <wp:extent cx="6483985" cy="558165"/>
          <wp:effectExtent l="0" t="0" r="0" b="0"/>
          <wp:wrapSquare wrapText="bothSides"/>
          <wp:docPr id="2" name="Obrázek 2" descr="o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3C30"/>
    <w:multiLevelType w:val="multilevel"/>
    <w:tmpl w:val="709A6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7F"/>
    <w:rsid w:val="00091A01"/>
    <w:rsid w:val="000D64C3"/>
    <w:rsid w:val="0022034C"/>
    <w:rsid w:val="004413C1"/>
    <w:rsid w:val="00470566"/>
    <w:rsid w:val="00482F91"/>
    <w:rsid w:val="006332C6"/>
    <w:rsid w:val="006571D6"/>
    <w:rsid w:val="007F5B8C"/>
    <w:rsid w:val="008146CB"/>
    <w:rsid w:val="00836CFA"/>
    <w:rsid w:val="008E1F9D"/>
    <w:rsid w:val="009447C3"/>
    <w:rsid w:val="00A14311"/>
    <w:rsid w:val="00A26DDD"/>
    <w:rsid w:val="00B12B9D"/>
    <w:rsid w:val="00B3364B"/>
    <w:rsid w:val="00BD5B0B"/>
    <w:rsid w:val="00D4689F"/>
    <w:rsid w:val="00D6037F"/>
    <w:rsid w:val="00E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5C3DEE"/>
  <w15:chartTrackingRefBased/>
  <w15:docId w15:val="{57A147C9-7367-4EA1-98A1-254FDC82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3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1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B9D"/>
  </w:style>
  <w:style w:type="paragraph" w:styleId="Zpat">
    <w:name w:val="footer"/>
    <w:basedOn w:val="Normln"/>
    <w:link w:val="ZpatChar"/>
    <w:uiPriority w:val="99"/>
    <w:unhideWhenUsed/>
    <w:rsid w:val="00B1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B9D"/>
  </w:style>
  <w:style w:type="paragraph" w:styleId="Textbubliny">
    <w:name w:val="Balloon Text"/>
    <w:basedOn w:val="Normln"/>
    <w:link w:val="TextbublinyChar"/>
    <w:uiPriority w:val="99"/>
    <w:semiHidden/>
    <w:unhideWhenUsed/>
    <w:rsid w:val="0047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Heroutová Blanka</dc:creator>
  <cp:keywords/>
  <dc:description/>
  <cp:lastModifiedBy>Heroutová Blanka</cp:lastModifiedBy>
  <cp:revision>11</cp:revision>
  <cp:lastPrinted>2021-02-02T08:53:00Z</cp:lastPrinted>
  <dcterms:created xsi:type="dcterms:W3CDTF">2021-01-07T08:05:00Z</dcterms:created>
  <dcterms:modified xsi:type="dcterms:W3CDTF">2021-02-25T07:44:00Z</dcterms:modified>
</cp:coreProperties>
</file>