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11" w:rsidRPr="00E6798A" w:rsidRDefault="00452C4E" w:rsidP="00136911">
      <w:pPr>
        <w:pStyle w:val="Titulek"/>
        <w:shd w:val="clear" w:color="auto" w:fill="C0000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J</w:t>
      </w:r>
      <w:r w:rsidR="00136911" w:rsidRPr="00FE02F5">
        <w:rPr>
          <w:rFonts w:cs="Times New Roman"/>
          <w:sz w:val="28"/>
        </w:rPr>
        <w:t>ednací</w:t>
      </w:r>
      <w:r>
        <w:rPr>
          <w:rFonts w:cs="Times New Roman"/>
          <w:sz w:val="28"/>
        </w:rPr>
        <w:t xml:space="preserve"> řád</w:t>
      </w:r>
      <w:r w:rsidR="00136911" w:rsidRPr="00FE02F5">
        <w:rPr>
          <w:rFonts w:cs="Times New Roman"/>
          <w:sz w:val="28"/>
        </w:rPr>
        <w:t xml:space="preserve"> </w:t>
      </w:r>
      <w:r w:rsidR="000D5149">
        <w:rPr>
          <w:rFonts w:cs="Times New Roman"/>
          <w:sz w:val="28"/>
        </w:rPr>
        <w:t>Přípravného</w:t>
      </w:r>
      <w:r w:rsidR="00D16A07">
        <w:rPr>
          <w:rFonts w:cs="Times New Roman"/>
          <w:sz w:val="28"/>
        </w:rPr>
        <w:t xml:space="preserve"> řídicího</w:t>
      </w:r>
      <w:r w:rsidR="00136911">
        <w:rPr>
          <w:rFonts w:cs="Times New Roman"/>
          <w:sz w:val="28"/>
        </w:rPr>
        <w:t xml:space="preserve"> výboru pro </w:t>
      </w:r>
      <w:r w:rsidR="003D0E1E">
        <w:rPr>
          <w:rFonts w:cs="Times New Roman"/>
          <w:sz w:val="28"/>
        </w:rPr>
        <w:t>přípravu</w:t>
      </w:r>
      <w:r w:rsidR="00136911">
        <w:rPr>
          <w:rFonts w:cs="Times New Roman"/>
          <w:sz w:val="28"/>
        </w:rPr>
        <w:t xml:space="preserve"> integrované strategie -  </w:t>
      </w:r>
      <w:r w:rsidR="007E51E9">
        <w:rPr>
          <w:rFonts w:cs="Times New Roman"/>
          <w:sz w:val="28"/>
        </w:rPr>
        <w:t>ITIKV°</w:t>
      </w:r>
      <w:r w:rsidR="00136911" w:rsidRPr="00E6798A">
        <w:rPr>
          <w:rFonts w:cs="Times New Roman"/>
          <w:sz w:val="28"/>
        </w:rPr>
        <w:t xml:space="preserve"> </w:t>
      </w:r>
    </w:p>
    <w:p w:rsidR="00136911" w:rsidRPr="001C4B03" w:rsidRDefault="00136911" w:rsidP="001C4B03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B03">
        <w:rPr>
          <w:rFonts w:ascii="Times New Roman" w:hAnsi="Times New Roman" w:cs="Times New Roman"/>
          <w:b/>
          <w:bCs/>
          <w:sz w:val="24"/>
          <w:szCs w:val="24"/>
        </w:rPr>
        <w:t>Jednací řád</w:t>
      </w:r>
    </w:p>
    <w:p w:rsidR="00136911" w:rsidRPr="001C4B03" w:rsidRDefault="00F05786" w:rsidP="001369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D5149">
        <w:rPr>
          <w:rFonts w:ascii="Times New Roman" w:hAnsi="Times New Roman" w:cs="Times New Roman"/>
          <w:sz w:val="24"/>
          <w:szCs w:val="24"/>
        </w:rPr>
        <w:t>řípravného</w:t>
      </w:r>
      <w:r w:rsidR="00136911" w:rsidRPr="001C4B03">
        <w:rPr>
          <w:rFonts w:ascii="Times New Roman" w:hAnsi="Times New Roman" w:cs="Times New Roman"/>
          <w:sz w:val="24"/>
          <w:szCs w:val="24"/>
        </w:rPr>
        <w:t xml:space="preserve"> </w:t>
      </w:r>
      <w:r w:rsidR="000A339E">
        <w:rPr>
          <w:rFonts w:ascii="Times New Roman" w:hAnsi="Times New Roman" w:cs="Times New Roman"/>
          <w:sz w:val="24"/>
          <w:szCs w:val="24"/>
        </w:rPr>
        <w:t xml:space="preserve">řídicího </w:t>
      </w:r>
      <w:r w:rsidR="00136911" w:rsidRPr="001C4B03">
        <w:rPr>
          <w:rFonts w:ascii="Times New Roman" w:hAnsi="Times New Roman" w:cs="Times New Roman"/>
          <w:sz w:val="24"/>
          <w:szCs w:val="24"/>
        </w:rPr>
        <w:t xml:space="preserve">výboru pro </w:t>
      </w:r>
      <w:r w:rsidR="00612CEB">
        <w:rPr>
          <w:rFonts w:ascii="Times New Roman" w:hAnsi="Times New Roman" w:cs="Times New Roman"/>
          <w:sz w:val="24"/>
          <w:szCs w:val="24"/>
        </w:rPr>
        <w:t xml:space="preserve">přípravu </w:t>
      </w:r>
      <w:r w:rsidR="00136911" w:rsidRPr="001C4B03">
        <w:rPr>
          <w:rFonts w:ascii="Times New Roman" w:hAnsi="Times New Roman" w:cs="Times New Roman"/>
          <w:sz w:val="24"/>
          <w:szCs w:val="24"/>
        </w:rPr>
        <w:t xml:space="preserve">integrované strategie </w:t>
      </w:r>
      <w:r>
        <w:rPr>
          <w:rFonts w:ascii="Times New Roman" w:hAnsi="Times New Roman" w:cs="Times New Roman"/>
          <w:sz w:val="24"/>
          <w:szCs w:val="24"/>
        </w:rPr>
        <w:t xml:space="preserve">(ITIKV°) </w:t>
      </w:r>
    </w:p>
    <w:p w:rsidR="00224F48" w:rsidRPr="001C4B03" w:rsidRDefault="00224F48" w:rsidP="00224F48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B03">
        <w:rPr>
          <w:rFonts w:ascii="Times New Roman" w:hAnsi="Times New Roman" w:cs="Times New Roman"/>
          <w:b/>
          <w:sz w:val="24"/>
          <w:szCs w:val="24"/>
        </w:rPr>
        <w:t>A)</w:t>
      </w:r>
    </w:p>
    <w:p w:rsidR="00224F48" w:rsidRPr="001C4B03" w:rsidRDefault="00224F48" w:rsidP="00224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B03">
        <w:rPr>
          <w:rFonts w:ascii="Times New Roman" w:hAnsi="Times New Roman" w:cs="Times New Roman"/>
          <w:b/>
          <w:sz w:val="24"/>
          <w:szCs w:val="24"/>
        </w:rPr>
        <w:t>Vymezení pojmů pro účely jednacího řádu</w:t>
      </w:r>
    </w:p>
    <w:p w:rsidR="00224F48" w:rsidRPr="001C4B03" w:rsidRDefault="008F0D46" w:rsidP="00224F4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) </w:t>
      </w:r>
      <w:r w:rsidR="00224F48" w:rsidRPr="001C4B03">
        <w:rPr>
          <w:rFonts w:ascii="Times New Roman" w:hAnsi="Times New Roman" w:cs="Times New Roman"/>
          <w:b/>
          <w:i/>
          <w:sz w:val="24"/>
          <w:szCs w:val="24"/>
        </w:rPr>
        <w:t>Integrovaný projekt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 – individuální projekt, který má být dle žádosti </w:t>
      </w:r>
      <w:r w:rsidR="00224F48" w:rsidRPr="001C4B03">
        <w:rPr>
          <w:rFonts w:ascii="Times New Roman" w:hAnsi="Times New Roman" w:cs="Times New Roman"/>
          <w:i/>
          <w:sz w:val="24"/>
          <w:szCs w:val="24"/>
        </w:rPr>
        <w:t>projektového partnera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 realizován jako součást </w:t>
      </w:r>
      <w:r w:rsidR="00224F48" w:rsidRPr="001C4B03">
        <w:rPr>
          <w:rFonts w:ascii="Times New Roman" w:hAnsi="Times New Roman" w:cs="Times New Roman"/>
          <w:i/>
          <w:sz w:val="24"/>
          <w:szCs w:val="24"/>
        </w:rPr>
        <w:t>integrované strategie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 a financován z příslušných evropských dotačních fondů;</w:t>
      </w:r>
    </w:p>
    <w:p w:rsidR="00224F48" w:rsidRPr="001C4B03" w:rsidRDefault="008F0D46" w:rsidP="00224F4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24F48" w:rsidRPr="001C4B03">
        <w:rPr>
          <w:rFonts w:ascii="Times New Roman" w:hAnsi="Times New Roman" w:cs="Times New Roman"/>
          <w:sz w:val="24"/>
          <w:szCs w:val="24"/>
        </w:rPr>
        <w:t>)</w:t>
      </w:r>
      <w:r w:rsidR="00985A49">
        <w:rPr>
          <w:rFonts w:ascii="Times New Roman" w:hAnsi="Times New Roman" w:cs="Times New Roman"/>
          <w:sz w:val="24"/>
          <w:szCs w:val="24"/>
        </w:rPr>
        <w:t xml:space="preserve"> </w:t>
      </w:r>
      <w:r w:rsidR="00224F48" w:rsidRPr="001C4B03">
        <w:rPr>
          <w:rFonts w:ascii="Times New Roman" w:hAnsi="Times New Roman" w:cs="Times New Roman"/>
          <w:b/>
          <w:i/>
          <w:sz w:val="24"/>
          <w:szCs w:val="24"/>
        </w:rPr>
        <w:t>Integrovaná strategie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 – dokument vyhodnocující problémy a potenciál vymezeného území a navrhující jeho další rozvoj pomocí konkrétních opatření;</w:t>
      </w:r>
    </w:p>
    <w:p w:rsidR="00224F48" w:rsidRPr="001C4B03" w:rsidRDefault="008F0D46" w:rsidP="00224F4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) </w:t>
      </w:r>
      <w:r w:rsidR="00224F48" w:rsidRPr="001C4B03">
        <w:rPr>
          <w:rFonts w:ascii="Times New Roman" w:hAnsi="Times New Roman" w:cs="Times New Roman"/>
          <w:b/>
          <w:i/>
          <w:sz w:val="24"/>
          <w:szCs w:val="24"/>
        </w:rPr>
        <w:t>Manažer integrované strategie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 – fyzická či právnická osoba určená </w:t>
      </w:r>
      <w:r w:rsidR="00224F48" w:rsidRPr="001C4B03">
        <w:rPr>
          <w:rFonts w:ascii="Times New Roman" w:hAnsi="Times New Roman" w:cs="Times New Roman"/>
          <w:i/>
          <w:sz w:val="24"/>
          <w:szCs w:val="24"/>
        </w:rPr>
        <w:t>nositelem integrované strategie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 k zajištění organizačního a administrativního zázemí pro přípravu a realizaci </w:t>
      </w:r>
      <w:r w:rsidR="00224F48" w:rsidRPr="001C4B03">
        <w:rPr>
          <w:rFonts w:ascii="Times New Roman" w:hAnsi="Times New Roman" w:cs="Times New Roman"/>
          <w:i/>
          <w:sz w:val="24"/>
          <w:szCs w:val="24"/>
        </w:rPr>
        <w:t>integrované strategie</w:t>
      </w:r>
      <w:r w:rsidR="00224F48" w:rsidRPr="001C4B03">
        <w:rPr>
          <w:rFonts w:ascii="Times New Roman" w:hAnsi="Times New Roman" w:cs="Times New Roman"/>
          <w:sz w:val="24"/>
          <w:szCs w:val="24"/>
        </w:rPr>
        <w:t>;</w:t>
      </w:r>
    </w:p>
    <w:p w:rsidR="00224F48" w:rsidRPr="001C4B03" w:rsidRDefault="008F0D46" w:rsidP="00224F4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) </w:t>
      </w:r>
      <w:r w:rsidR="00224F48" w:rsidRPr="001C4B03">
        <w:rPr>
          <w:rFonts w:ascii="Times New Roman" w:hAnsi="Times New Roman" w:cs="Times New Roman"/>
          <w:b/>
          <w:i/>
          <w:sz w:val="24"/>
          <w:szCs w:val="24"/>
        </w:rPr>
        <w:t>Nositel integrované strategie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 – </w:t>
      </w:r>
      <w:r w:rsidR="00224F48" w:rsidRPr="003D0E1E">
        <w:rPr>
          <w:rFonts w:ascii="Times New Roman" w:hAnsi="Times New Roman" w:cs="Times New Roman"/>
          <w:sz w:val="24"/>
          <w:szCs w:val="24"/>
        </w:rPr>
        <w:t>subjekt (</w:t>
      </w:r>
      <w:r w:rsidR="00C42FF8" w:rsidRPr="003D0E1E">
        <w:rPr>
          <w:rFonts w:ascii="Times New Roman" w:hAnsi="Times New Roman" w:cs="Times New Roman"/>
          <w:sz w:val="24"/>
          <w:szCs w:val="24"/>
        </w:rPr>
        <w:t>Statutární město Karlovy Vary</w:t>
      </w:r>
      <w:r w:rsidR="00224F48" w:rsidRPr="003D0E1E">
        <w:rPr>
          <w:rFonts w:ascii="Times New Roman" w:hAnsi="Times New Roman" w:cs="Times New Roman"/>
          <w:sz w:val="24"/>
          <w:szCs w:val="24"/>
        </w:rPr>
        <w:t xml:space="preserve">) odpovědný za přípravu, zpracování, realizaci a monitoring </w:t>
      </w:r>
      <w:r w:rsidR="00224F48" w:rsidRPr="003D0E1E">
        <w:rPr>
          <w:rFonts w:ascii="Times New Roman" w:hAnsi="Times New Roman" w:cs="Times New Roman"/>
          <w:i/>
          <w:sz w:val="24"/>
          <w:szCs w:val="24"/>
        </w:rPr>
        <w:t>integrované strategie</w:t>
      </w:r>
      <w:r w:rsidR="00224F48" w:rsidRPr="003D0E1E">
        <w:rPr>
          <w:rFonts w:ascii="Times New Roman" w:hAnsi="Times New Roman" w:cs="Times New Roman"/>
          <w:sz w:val="24"/>
          <w:szCs w:val="24"/>
        </w:rPr>
        <w:t>;</w:t>
      </w:r>
    </w:p>
    <w:p w:rsidR="00224F48" w:rsidRPr="001C4B03" w:rsidRDefault="008F0D46" w:rsidP="00224F4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) </w:t>
      </w:r>
      <w:r w:rsidR="00224F48" w:rsidRPr="001C4B03">
        <w:rPr>
          <w:rFonts w:ascii="Times New Roman" w:hAnsi="Times New Roman" w:cs="Times New Roman"/>
          <w:b/>
          <w:i/>
          <w:sz w:val="24"/>
          <w:szCs w:val="24"/>
        </w:rPr>
        <w:t>Pracovní skupina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 – uskupení, které je složeno zejména ze zástupců </w:t>
      </w:r>
      <w:r w:rsidR="00224F48" w:rsidRPr="001C4B03">
        <w:rPr>
          <w:rFonts w:ascii="Times New Roman" w:hAnsi="Times New Roman" w:cs="Times New Roman"/>
          <w:i/>
          <w:sz w:val="24"/>
          <w:szCs w:val="24"/>
        </w:rPr>
        <w:t>projektových partnerů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 a které se podílí na přípravě a realizaci </w:t>
      </w:r>
      <w:r w:rsidR="00224F48" w:rsidRPr="001C4B03">
        <w:rPr>
          <w:rFonts w:ascii="Times New Roman" w:hAnsi="Times New Roman" w:cs="Times New Roman"/>
          <w:i/>
          <w:sz w:val="24"/>
          <w:szCs w:val="24"/>
        </w:rPr>
        <w:t>integrované strategie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 v rámci tematického zaměření určeného </w:t>
      </w:r>
      <w:r w:rsidR="00224F48" w:rsidRPr="001C4B03">
        <w:rPr>
          <w:rFonts w:ascii="Times New Roman" w:hAnsi="Times New Roman" w:cs="Times New Roman"/>
          <w:i/>
          <w:sz w:val="24"/>
          <w:szCs w:val="24"/>
        </w:rPr>
        <w:t>nositelem integrované strategie</w:t>
      </w:r>
      <w:r w:rsidR="00224F48" w:rsidRPr="001C4B03">
        <w:rPr>
          <w:rFonts w:ascii="Times New Roman" w:hAnsi="Times New Roman" w:cs="Times New Roman"/>
          <w:sz w:val="24"/>
          <w:szCs w:val="24"/>
        </w:rPr>
        <w:t>;</w:t>
      </w:r>
    </w:p>
    <w:p w:rsidR="007E51E9" w:rsidRDefault="008F0D46" w:rsidP="00224F4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) </w:t>
      </w:r>
      <w:r w:rsidR="00224F48" w:rsidRPr="001C4B03">
        <w:rPr>
          <w:rFonts w:ascii="Times New Roman" w:hAnsi="Times New Roman" w:cs="Times New Roman"/>
          <w:b/>
          <w:i/>
          <w:sz w:val="24"/>
          <w:szCs w:val="24"/>
        </w:rPr>
        <w:t xml:space="preserve">Projektový partner 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– veřejný či soukromý subjekt, který má zájem o zapojení do přípravy a realizace </w:t>
      </w:r>
      <w:r w:rsidR="00224F48" w:rsidRPr="001C4B03">
        <w:rPr>
          <w:rFonts w:ascii="Times New Roman" w:hAnsi="Times New Roman" w:cs="Times New Roman"/>
          <w:i/>
          <w:sz w:val="24"/>
          <w:szCs w:val="24"/>
        </w:rPr>
        <w:t>integrované strategie</w:t>
      </w:r>
      <w:r w:rsidR="007E51E9">
        <w:rPr>
          <w:rFonts w:ascii="Times New Roman" w:hAnsi="Times New Roman" w:cs="Times New Roman"/>
          <w:sz w:val="24"/>
          <w:szCs w:val="24"/>
        </w:rPr>
        <w:t>;</w:t>
      </w:r>
    </w:p>
    <w:p w:rsidR="00224F48" w:rsidRPr="001C4B03" w:rsidRDefault="008F0D46" w:rsidP="00224F4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) </w:t>
      </w:r>
      <w:r w:rsidR="00224F48" w:rsidRPr="001C4B03">
        <w:rPr>
          <w:rFonts w:ascii="Times New Roman" w:hAnsi="Times New Roman" w:cs="Times New Roman"/>
          <w:b/>
          <w:i/>
          <w:sz w:val="24"/>
          <w:szCs w:val="24"/>
        </w:rPr>
        <w:t xml:space="preserve">Regionální stálá konference 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– uskupení, které je složeno ze zástupců regionálních, místních, městských a jiných orgánů veřejné správy, z hospodářských a sociálních partnerů, ze subjektů zastupujících občanskou společnost a z Agentury pro sociální začleňování a které se zaměřuje na problematiku </w:t>
      </w:r>
      <w:r w:rsidR="00224F48" w:rsidRPr="001C4B03">
        <w:rPr>
          <w:rFonts w:ascii="Times New Roman" w:hAnsi="Times New Roman" w:cs="Times New Roman"/>
          <w:i/>
          <w:sz w:val="24"/>
          <w:szCs w:val="24"/>
        </w:rPr>
        <w:t>integrovaných strategií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 a regionálního rozvoje v rámci územního obvodu jednotlivých krajů;</w:t>
      </w:r>
    </w:p>
    <w:p w:rsidR="00224F48" w:rsidRDefault="00224F48" w:rsidP="00224F4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C4B03">
        <w:rPr>
          <w:rFonts w:ascii="Times New Roman" w:hAnsi="Times New Roman" w:cs="Times New Roman"/>
          <w:sz w:val="24"/>
          <w:szCs w:val="24"/>
        </w:rPr>
        <w:t xml:space="preserve">h) </w:t>
      </w:r>
      <w:r w:rsidRPr="001C4B03">
        <w:rPr>
          <w:rFonts w:ascii="Times New Roman" w:hAnsi="Times New Roman" w:cs="Times New Roman"/>
          <w:b/>
          <w:i/>
          <w:sz w:val="24"/>
          <w:szCs w:val="24"/>
        </w:rPr>
        <w:t>Zpráva o plnění integrované strategie</w:t>
      </w:r>
      <w:r w:rsidRPr="001C4B03">
        <w:rPr>
          <w:rFonts w:ascii="Times New Roman" w:hAnsi="Times New Roman" w:cs="Times New Roman"/>
          <w:sz w:val="24"/>
          <w:szCs w:val="24"/>
        </w:rPr>
        <w:t xml:space="preserve"> – dokument zpracovávaný </w:t>
      </w:r>
      <w:r w:rsidRPr="001C4B03">
        <w:rPr>
          <w:rFonts w:ascii="Times New Roman" w:hAnsi="Times New Roman" w:cs="Times New Roman"/>
          <w:i/>
          <w:sz w:val="24"/>
          <w:szCs w:val="24"/>
        </w:rPr>
        <w:t>nositelem integrované strategie</w:t>
      </w:r>
      <w:r w:rsidRPr="001C4B03">
        <w:rPr>
          <w:rFonts w:ascii="Times New Roman" w:hAnsi="Times New Roman" w:cs="Times New Roman"/>
          <w:sz w:val="24"/>
          <w:szCs w:val="24"/>
        </w:rPr>
        <w:t xml:space="preserve"> a obsahující informace o průběhu realizace </w:t>
      </w:r>
      <w:r w:rsidRPr="001C4B03">
        <w:rPr>
          <w:rFonts w:ascii="Times New Roman" w:hAnsi="Times New Roman" w:cs="Times New Roman"/>
          <w:i/>
          <w:sz w:val="24"/>
          <w:szCs w:val="24"/>
        </w:rPr>
        <w:t>integrované strategie</w:t>
      </w:r>
      <w:r w:rsidRPr="001C4B03">
        <w:rPr>
          <w:rFonts w:ascii="Times New Roman" w:hAnsi="Times New Roman" w:cs="Times New Roman"/>
          <w:sz w:val="24"/>
          <w:szCs w:val="24"/>
        </w:rPr>
        <w:t>.</w:t>
      </w:r>
    </w:p>
    <w:p w:rsidR="007E51E9" w:rsidRPr="001C4B03" w:rsidRDefault="007E51E9" w:rsidP="00224F4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24F48" w:rsidRDefault="00224F48" w:rsidP="00341A7C">
      <w:pPr>
        <w:pStyle w:val="Normlnweb"/>
        <w:spacing w:before="240" w:beforeAutospacing="0" w:after="0" w:afterAutospacing="0"/>
        <w:jc w:val="center"/>
        <w:rPr>
          <w:b/>
          <w:bCs/>
        </w:rPr>
      </w:pPr>
    </w:p>
    <w:p w:rsidR="008F0D46" w:rsidRDefault="008F0D46" w:rsidP="00341A7C">
      <w:pPr>
        <w:pStyle w:val="Normlnweb"/>
        <w:spacing w:before="240" w:beforeAutospacing="0" w:after="0" w:afterAutospacing="0"/>
        <w:jc w:val="center"/>
        <w:rPr>
          <w:b/>
          <w:bCs/>
        </w:rPr>
      </w:pPr>
    </w:p>
    <w:p w:rsidR="008F0D46" w:rsidRDefault="008F0D46" w:rsidP="00341A7C">
      <w:pPr>
        <w:pStyle w:val="Normlnweb"/>
        <w:spacing w:before="240" w:beforeAutospacing="0" w:after="0" w:afterAutospacing="0"/>
        <w:jc w:val="center"/>
        <w:rPr>
          <w:b/>
          <w:bCs/>
        </w:rPr>
      </w:pPr>
    </w:p>
    <w:p w:rsidR="00A8340B" w:rsidRPr="00341A7C" w:rsidRDefault="00A8340B" w:rsidP="00A8340B">
      <w:pPr>
        <w:pStyle w:val="Normlnweb"/>
        <w:spacing w:before="240" w:beforeAutospacing="0" w:after="0" w:afterAutospacing="0"/>
        <w:jc w:val="center"/>
        <w:rPr>
          <w:b/>
          <w:bCs/>
        </w:rPr>
      </w:pPr>
      <w:r w:rsidRPr="00CE71DB">
        <w:rPr>
          <w:b/>
          <w:bCs/>
        </w:rPr>
        <w:lastRenderedPageBreak/>
        <w:t xml:space="preserve">Článek </w:t>
      </w:r>
      <w:r>
        <w:rPr>
          <w:b/>
          <w:bCs/>
        </w:rPr>
        <w:t>I Úvodní ustanovení</w:t>
      </w:r>
    </w:p>
    <w:p w:rsidR="00224F48" w:rsidRPr="00DB01AF" w:rsidRDefault="00A8340B" w:rsidP="00A8340B">
      <w:pPr>
        <w:pStyle w:val="Normlnweb"/>
        <w:numPr>
          <w:ilvl w:val="1"/>
          <w:numId w:val="2"/>
        </w:numPr>
        <w:spacing w:before="120" w:beforeAutospacing="0" w:after="0" w:afterAutospacing="0"/>
        <w:ind w:left="567" w:hanging="567"/>
        <w:jc w:val="both"/>
      </w:pPr>
      <w:r w:rsidRPr="00DB01AF">
        <w:t xml:space="preserve">Tímto jednacím řádem je upraven způsob přípravy, svolávání, procesní otázky průběhu zasedání, přijímání usnesení, kontrolu plnění jeho usnesení a další související procedurální otázky v rámci přípravy a realizace </w:t>
      </w:r>
      <w:r w:rsidR="007E51E9">
        <w:t>ITIKV°.</w:t>
      </w:r>
    </w:p>
    <w:p w:rsidR="00341A7C" w:rsidRPr="00341A7C" w:rsidRDefault="00341A7C" w:rsidP="00341A7C">
      <w:pPr>
        <w:pStyle w:val="Normlnweb"/>
        <w:spacing w:before="240" w:beforeAutospacing="0" w:after="0" w:afterAutospacing="0"/>
        <w:jc w:val="center"/>
        <w:rPr>
          <w:b/>
          <w:bCs/>
        </w:rPr>
      </w:pPr>
      <w:r w:rsidRPr="00CE71DB">
        <w:rPr>
          <w:b/>
          <w:bCs/>
        </w:rPr>
        <w:t xml:space="preserve">Článek </w:t>
      </w:r>
      <w:r w:rsidR="00A8340B">
        <w:rPr>
          <w:b/>
          <w:bCs/>
        </w:rPr>
        <w:t>I</w:t>
      </w:r>
      <w:r w:rsidR="001C4B03">
        <w:rPr>
          <w:b/>
          <w:bCs/>
        </w:rPr>
        <w:t>I</w:t>
      </w:r>
      <w:r w:rsidR="0078508F">
        <w:rPr>
          <w:b/>
          <w:bCs/>
        </w:rPr>
        <w:t xml:space="preserve"> </w:t>
      </w:r>
      <w:r w:rsidR="001031A2">
        <w:rPr>
          <w:b/>
          <w:bCs/>
        </w:rPr>
        <w:t xml:space="preserve">Ustavení </w:t>
      </w:r>
      <w:r w:rsidR="00406BF8" w:rsidRPr="00406BF8">
        <w:rPr>
          <w:b/>
        </w:rPr>
        <w:t>Přípravného</w:t>
      </w:r>
      <w:r w:rsidR="000A339E">
        <w:rPr>
          <w:b/>
        </w:rPr>
        <w:t xml:space="preserve"> řídicího</w:t>
      </w:r>
      <w:r w:rsidR="00406BF8" w:rsidRPr="001031A2">
        <w:t xml:space="preserve"> </w:t>
      </w:r>
      <w:r w:rsidR="001031A2">
        <w:rPr>
          <w:b/>
          <w:bCs/>
        </w:rPr>
        <w:t>výboru</w:t>
      </w:r>
    </w:p>
    <w:p w:rsidR="00A8340B" w:rsidRPr="00A8340B" w:rsidRDefault="00A8340B" w:rsidP="00A8340B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341A7C" w:rsidRPr="00DB01AF" w:rsidRDefault="00406BF8" w:rsidP="00A8340B">
      <w:pPr>
        <w:pStyle w:val="Normlnweb"/>
        <w:numPr>
          <w:ilvl w:val="1"/>
          <w:numId w:val="2"/>
        </w:numPr>
        <w:spacing w:before="120" w:beforeAutospacing="0" w:after="0" w:afterAutospacing="0"/>
        <w:ind w:left="567" w:hanging="567"/>
        <w:jc w:val="both"/>
      </w:pPr>
      <w:r w:rsidRPr="00DB01AF">
        <w:t>Přípravný</w:t>
      </w:r>
      <w:r w:rsidR="0078508F" w:rsidRPr="00DB01AF">
        <w:t xml:space="preserve"> </w:t>
      </w:r>
      <w:r w:rsidR="000A339E">
        <w:t xml:space="preserve">řídicí </w:t>
      </w:r>
      <w:r w:rsidR="0078508F" w:rsidRPr="00DB01AF">
        <w:t>výbor</w:t>
      </w:r>
      <w:r w:rsidR="004351AF" w:rsidRPr="00DB01AF">
        <w:t xml:space="preserve"> </w:t>
      </w:r>
      <w:r w:rsidR="0078508F" w:rsidRPr="00DB01AF">
        <w:t xml:space="preserve">je ustaven a </w:t>
      </w:r>
      <w:r w:rsidR="00341A7C" w:rsidRPr="00DB01AF">
        <w:t xml:space="preserve">vykonává své působnosti za účelem </w:t>
      </w:r>
      <w:r w:rsidR="0078508F" w:rsidRPr="00DB01AF">
        <w:t>spolupůsobení při zajištěn</w:t>
      </w:r>
      <w:r w:rsidR="00632253">
        <w:t>í</w:t>
      </w:r>
      <w:r w:rsidR="0078508F" w:rsidRPr="00DB01AF">
        <w:t xml:space="preserve"> řádné přípravy a realizace integrované strategie – </w:t>
      </w:r>
      <w:r w:rsidR="007E51E9">
        <w:t>ITIKV°</w:t>
      </w:r>
      <w:r w:rsidR="0078508F" w:rsidRPr="00DB01AF">
        <w:t xml:space="preserve">. </w:t>
      </w:r>
      <w:r w:rsidRPr="00DB01AF">
        <w:t>Přípravný</w:t>
      </w:r>
      <w:r w:rsidR="000A339E">
        <w:t xml:space="preserve"> řídicí </w:t>
      </w:r>
      <w:r w:rsidR="0078508F" w:rsidRPr="00DB01AF">
        <w:t xml:space="preserve"> výbor</w:t>
      </w:r>
      <w:r w:rsidR="00EE35F9" w:rsidRPr="00DB01AF">
        <w:t xml:space="preserve"> </w:t>
      </w:r>
      <w:r w:rsidR="00341A7C" w:rsidRPr="00DB01AF">
        <w:t>zřizuje jako své poradní orgány pracovní skupiny k</w:t>
      </w:r>
      <w:r w:rsidR="004351AF" w:rsidRPr="00DB01AF">
        <w:t xml:space="preserve"> prioritním oblastem </w:t>
      </w:r>
      <w:r w:rsidR="003F3183">
        <w:t>I</w:t>
      </w:r>
      <w:r w:rsidR="007E51E9">
        <w:t>TIKV°.</w:t>
      </w:r>
    </w:p>
    <w:p w:rsidR="0078508F" w:rsidRPr="00341A7C" w:rsidRDefault="0078508F" w:rsidP="0078508F">
      <w:pPr>
        <w:pStyle w:val="Normlnweb"/>
        <w:spacing w:before="240" w:beforeAutospacing="0" w:after="0" w:afterAutospacing="0"/>
        <w:jc w:val="center"/>
        <w:rPr>
          <w:b/>
          <w:bCs/>
        </w:rPr>
      </w:pPr>
      <w:r w:rsidRPr="00CE71DB">
        <w:rPr>
          <w:b/>
          <w:bCs/>
        </w:rPr>
        <w:t xml:space="preserve">Článek </w:t>
      </w:r>
      <w:r w:rsidR="00A8340B">
        <w:rPr>
          <w:b/>
          <w:bCs/>
        </w:rPr>
        <w:t>I</w:t>
      </w:r>
      <w:r w:rsidR="001C4B03">
        <w:rPr>
          <w:b/>
          <w:bCs/>
        </w:rPr>
        <w:t>II</w:t>
      </w:r>
      <w:r>
        <w:rPr>
          <w:b/>
          <w:bCs/>
        </w:rPr>
        <w:t xml:space="preserve"> Složení </w:t>
      </w:r>
      <w:r w:rsidR="00406BF8" w:rsidRPr="000A339E">
        <w:rPr>
          <w:b/>
        </w:rPr>
        <w:t xml:space="preserve">Přípravného </w:t>
      </w:r>
      <w:r w:rsidR="000A339E" w:rsidRPr="000A339E">
        <w:rPr>
          <w:b/>
        </w:rPr>
        <w:t xml:space="preserve">řídicího </w:t>
      </w:r>
      <w:r w:rsidRPr="000A339E">
        <w:rPr>
          <w:b/>
          <w:bCs/>
        </w:rPr>
        <w:t>výboru</w:t>
      </w:r>
    </w:p>
    <w:p w:rsidR="001031A2" w:rsidRPr="001031A2" w:rsidRDefault="001031A2" w:rsidP="001031A2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78508F" w:rsidRPr="00DB01AF" w:rsidRDefault="00406BF8" w:rsidP="001031A2">
      <w:pPr>
        <w:pStyle w:val="Normlnweb"/>
        <w:numPr>
          <w:ilvl w:val="1"/>
          <w:numId w:val="2"/>
        </w:numPr>
        <w:spacing w:before="120" w:beforeAutospacing="0" w:after="0" w:afterAutospacing="0"/>
        <w:ind w:left="567" w:hanging="567"/>
        <w:jc w:val="both"/>
      </w:pPr>
      <w:r w:rsidRPr="00DB01AF">
        <w:t>Přípravný</w:t>
      </w:r>
      <w:r w:rsidR="000A339E">
        <w:t xml:space="preserve"> řídicí</w:t>
      </w:r>
      <w:r w:rsidR="0078508F" w:rsidRPr="00DB01AF">
        <w:t xml:space="preserve"> </w:t>
      </w:r>
      <w:r w:rsidR="00303721">
        <w:t>výbor je složen z </w:t>
      </w:r>
      <w:r w:rsidR="00EC4EAC">
        <w:t>12</w:t>
      </w:r>
      <w:r w:rsidR="00B679B0">
        <w:t xml:space="preserve"> </w:t>
      </w:r>
      <w:r w:rsidR="0078508F" w:rsidRPr="00DB01AF">
        <w:t>členů určených statutárním městem Karlovy Vary, a to zejména z řad zastupitelů, vedoucích pracovníků magistrátu města a dalších vybraných místních a národních expertů pro danou problematiku, zástupců pracovních skupin nebo osob zodpovědných za další koncepční dokumenty města.</w:t>
      </w:r>
    </w:p>
    <w:p w:rsidR="001031A2" w:rsidRPr="00DB01AF" w:rsidRDefault="001031A2" w:rsidP="001031A2">
      <w:pPr>
        <w:pStyle w:val="Normlnweb"/>
        <w:numPr>
          <w:ilvl w:val="1"/>
          <w:numId w:val="2"/>
        </w:numPr>
        <w:spacing w:before="120" w:beforeAutospacing="0" w:after="0" w:afterAutospacing="0"/>
        <w:ind w:left="567" w:hanging="567"/>
        <w:jc w:val="both"/>
      </w:pPr>
      <w:r w:rsidRPr="00DB01AF">
        <w:t xml:space="preserve">Členem </w:t>
      </w:r>
      <w:r w:rsidR="00406BF8" w:rsidRPr="00DB01AF">
        <w:t>Přípravného</w:t>
      </w:r>
      <w:r w:rsidRPr="00DB01AF">
        <w:t xml:space="preserve"> </w:t>
      </w:r>
      <w:r w:rsidR="000A339E">
        <w:t xml:space="preserve">řídicího </w:t>
      </w:r>
      <w:r w:rsidRPr="00DB01AF">
        <w:t>výboru musí být alespoň jedna osoba, která je zároveň členem regionální stálé konference zřízené pro Karlovarský kraj.</w:t>
      </w:r>
    </w:p>
    <w:p w:rsidR="001031A2" w:rsidRPr="00DB01AF" w:rsidRDefault="001031A2" w:rsidP="001031A2">
      <w:pPr>
        <w:pStyle w:val="Normlnweb"/>
        <w:numPr>
          <w:ilvl w:val="1"/>
          <w:numId w:val="2"/>
        </w:numPr>
        <w:spacing w:before="120" w:beforeAutospacing="0" w:after="0" w:afterAutospacing="0"/>
        <w:ind w:left="567" w:hanging="567"/>
        <w:jc w:val="both"/>
      </w:pPr>
      <w:r w:rsidRPr="00DB01AF">
        <w:t xml:space="preserve">Členem </w:t>
      </w:r>
      <w:r w:rsidR="00406BF8" w:rsidRPr="00DB01AF">
        <w:t>Přípravného</w:t>
      </w:r>
      <w:r w:rsidR="000A339E">
        <w:t xml:space="preserve"> řídicího</w:t>
      </w:r>
      <w:r w:rsidRPr="00DB01AF">
        <w:t xml:space="preserve"> výboru bez hlasovacích práv je manažer integrované strategie.</w:t>
      </w:r>
    </w:p>
    <w:p w:rsidR="001031A2" w:rsidRPr="00DB01AF" w:rsidRDefault="001031A2" w:rsidP="001031A2">
      <w:pPr>
        <w:pStyle w:val="Normlnweb"/>
        <w:numPr>
          <w:ilvl w:val="1"/>
          <w:numId w:val="2"/>
        </w:numPr>
        <w:spacing w:before="120" w:beforeAutospacing="0" w:after="0" w:afterAutospacing="0"/>
        <w:ind w:left="567" w:hanging="567"/>
        <w:jc w:val="both"/>
      </w:pPr>
      <w:r w:rsidRPr="00DB01AF">
        <w:t xml:space="preserve">V čele </w:t>
      </w:r>
      <w:r w:rsidR="00406BF8" w:rsidRPr="00DB01AF">
        <w:t xml:space="preserve">Přípravného </w:t>
      </w:r>
      <w:r w:rsidR="000A339E">
        <w:t xml:space="preserve">řídicího </w:t>
      </w:r>
      <w:r w:rsidRPr="00DB01AF">
        <w:t xml:space="preserve">výboru stojí předseda jmenovaný městem Karlovy Vary a dle potřeby lze jmenovat též jednoho či více místopředsedů. </w:t>
      </w:r>
    </w:p>
    <w:p w:rsidR="001031A2" w:rsidRPr="001031A2" w:rsidRDefault="00341A7C" w:rsidP="001031A2">
      <w:pPr>
        <w:pStyle w:val="Normlnweb"/>
        <w:spacing w:before="240" w:beforeAutospacing="0" w:after="0" w:afterAutospacing="0"/>
        <w:jc w:val="center"/>
        <w:rPr>
          <w:b/>
          <w:bCs/>
        </w:rPr>
      </w:pPr>
      <w:r w:rsidRPr="00CE71DB">
        <w:rPr>
          <w:b/>
          <w:bCs/>
        </w:rPr>
        <w:t xml:space="preserve">Článek </w:t>
      </w:r>
      <w:r w:rsidR="001C4B03">
        <w:rPr>
          <w:b/>
          <w:bCs/>
        </w:rPr>
        <w:t>I</w:t>
      </w:r>
      <w:r w:rsidR="00A8340B">
        <w:rPr>
          <w:b/>
          <w:bCs/>
        </w:rPr>
        <w:t>V</w:t>
      </w:r>
      <w:r w:rsidR="001031A2">
        <w:rPr>
          <w:b/>
          <w:bCs/>
        </w:rPr>
        <w:t xml:space="preserve"> </w:t>
      </w:r>
      <w:r w:rsidR="001031A2" w:rsidRPr="001031A2">
        <w:rPr>
          <w:b/>
          <w:bCs/>
        </w:rPr>
        <w:t xml:space="preserve">Předmět činnosti </w:t>
      </w:r>
      <w:r w:rsidR="00406BF8" w:rsidRPr="000A339E">
        <w:rPr>
          <w:b/>
        </w:rPr>
        <w:t xml:space="preserve">Přípravného </w:t>
      </w:r>
      <w:r w:rsidR="000A339E" w:rsidRPr="000A339E">
        <w:rPr>
          <w:b/>
        </w:rPr>
        <w:t xml:space="preserve">řídicího </w:t>
      </w:r>
      <w:r w:rsidR="001031A2" w:rsidRPr="000A339E">
        <w:rPr>
          <w:b/>
          <w:bCs/>
        </w:rPr>
        <w:t>výboru</w:t>
      </w:r>
    </w:p>
    <w:p w:rsidR="00052D59" w:rsidRPr="00052D59" w:rsidRDefault="00052D59" w:rsidP="00052D59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1031A2" w:rsidRPr="00DB01AF" w:rsidRDefault="00406BF8" w:rsidP="00052D59">
      <w:pPr>
        <w:pStyle w:val="Normlnweb"/>
        <w:numPr>
          <w:ilvl w:val="1"/>
          <w:numId w:val="2"/>
        </w:numPr>
        <w:spacing w:before="120" w:beforeAutospacing="0" w:after="0" w:afterAutospacing="0"/>
        <w:ind w:left="567" w:hanging="567"/>
        <w:jc w:val="both"/>
      </w:pPr>
      <w:r w:rsidRPr="00DB01AF">
        <w:t xml:space="preserve">Přípravný </w:t>
      </w:r>
      <w:r w:rsidR="000A339E">
        <w:t xml:space="preserve">řídicí </w:t>
      </w:r>
      <w:r w:rsidR="001031A2" w:rsidRPr="00DB01AF">
        <w:t>výbor:</w:t>
      </w:r>
    </w:p>
    <w:p w:rsidR="001031A2" w:rsidRPr="00DB01AF" w:rsidRDefault="001031A2" w:rsidP="001031A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F">
        <w:rPr>
          <w:rFonts w:ascii="Times New Roman" w:hAnsi="Times New Roman" w:cs="Times New Roman"/>
          <w:sz w:val="24"/>
          <w:szCs w:val="24"/>
        </w:rPr>
        <w:t>vydává doporučení týkající se</w:t>
      </w:r>
      <w:r w:rsidR="00923EC1" w:rsidRPr="00DB01AF">
        <w:rPr>
          <w:rFonts w:ascii="Times New Roman" w:hAnsi="Times New Roman" w:cs="Times New Roman"/>
          <w:sz w:val="24"/>
          <w:szCs w:val="24"/>
        </w:rPr>
        <w:t xml:space="preserve"> přípravy a</w:t>
      </w:r>
      <w:r w:rsidRPr="00DB01AF">
        <w:rPr>
          <w:rFonts w:ascii="Times New Roman" w:hAnsi="Times New Roman" w:cs="Times New Roman"/>
          <w:sz w:val="24"/>
          <w:szCs w:val="24"/>
        </w:rPr>
        <w:t xml:space="preserve"> realizace integrované strategie orgánům </w:t>
      </w:r>
      <w:r w:rsidR="00E06A6C">
        <w:rPr>
          <w:rFonts w:ascii="Times New Roman" w:hAnsi="Times New Roman" w:cs="Times New Roman"/>
          <w:sz w:val="24"/>
          <w:szCs w:val="24"/>
        </w:rPr>
        <w:t>Statutárního města Karlovy Vary,</w:t>
      </w:r>
    </w:p>
    <w:p w:rsidR="001031A2" w:rsidRPr="00DB01AF" w:rsidRDefault="001031A2" w:rsidP="001031A2">
      <w:pPr>
        <w:pStyle w:val="Odstavecseseznamem"/>
        <w:keepNext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B01AF">
        <w:rPr>
          <w:rFonts w:ascii="Times New Roman" w:hAnsi="Times New Roman" w:cs="Times New Roman"/>
          <w:sz w:val="24"/>
          <w:szCs w:val="24"/>
        </w:rPr>
        <w:t>doporučuje zařazení integrovaného projektu do integrované strategie,</w:t>
      </w:r>
    </w:p>
    <w:p w:rsidR="001031A2" w:rsidRPr="00DB01AF" w:rsidRDefault="001031A2" w:rsidP="001031A2">
      <w:pPr>
        <w:pStyle w:val="Odstavecseseznamem"/>
        <w:keepNext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B01AF">
        <w:rPr>
          <w:rFonts w:ascii="Times New Roman" w:hAnsi="Times New Roman" w:cs="Times New Roman"/>
          <w:sz w:val="24"/>
          <w:szCs w:val="24"/>
        </w:rPr>
        <w:t xml:space="preserve">zřizuje pracovní skupiny pro témata </w:t>
      </w:r>
      <w:r w:rsidR="009E1246" w:rsidRPr="00DB01AF">
        <w:rPr>
          <w:rFonts w:ascii="Times New Roman" w:hAnsi="Times New Roman" w:cs="Times New Roman"/>
          <w:sz w:val="24"/>
          <w:szCs w:val="24"/>
        </w:rPr>
        <w:t xml:space="preserve">identifikovaná v dokumentu </w:t>
      </w:r>
      <w:r w:rsidR="00E06A6C">
        <w:rPr>
          <w:rFonts w:ascii="Times New Roman" w:hAnsi="Times New Roman" w:cs="Times New Roman"/>
          <w:sz w:val="24"/>
          <w:szCs w:val="24"/>
        </w:rPr>
        <w:t>ITIKV°</w:t>
      </w:r>
      <w:r w:rsidR="009E1246" w:rsidRPr="00DB01AF">
        <w:rPr>
          <w:rFonts w:ascii="Times New Roman" w:hAnsi="Times New Roman" w:cs="Times New Roman"/>
          <w:sz w:val="24"/>
          <w:szCs w:val="24"/>
        </w:rPr>
        <w:t xml:space="preserve"> a určená Statutárním městem Karlovy Vary</w:t>
      </w:r>
      <w:r w:rsidRPr="00DB01A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20EDF">
        <w:rPr>
          <w:rFonts w:ascii="Times New Roman" w:hAnsi="Times New Roman" w:cs="Times New Roman"/>
          <w:sz w:val="24"/>
          <w:szCs w:val="24"/>
        </w:rPr>
        <w:t>předsedu a v případě potřeby jednoho či více místopředsedů</w:t>
      </w:r>
      <w:r w:rsidR="009E1246" w:rsidRPr="00620EDF">
        <w:rPr>
          <w:rFonts w:ascii="Times New Roman" w:hAnsi="Times New Roman" w:cs="Times New Roman"/>
          <w:sz w:val="24"/>
          <w:szCs w:val="24"/>
        </w:rPr>
        <w:t>.</w:t>
      </w:r>
      <w:r w:rsidR="009E1246" w:rsidRPr="00DB01AF">
        <w:rPr>
          <w:rFonts w:ascii="Times New Roman" w:hAnsi="Times New Roman" w:cs="Times New Roman"/>
          <w:sz w:val="24"/>
          <w:szCs w:val="24"/>
        </w:rPr>
        <w:t xml:space="preserve"> Zároveň</w:t>
      </w:r>
      <w:r w:rsidRPr="00DB01AF">
        <w:rPr>
          <w:rFonts w:ascii="Times New Roman" w:hAnsi="Times New Roman" w:cs="Times New Roman"/>
          <w:sz w:val="24"/>
          <w:szCs w:val="24"/>
        </w:rPr>
        <w:t xml:space="preserve"> určuje jejich jednací řád a úkoly,</w:t>
      </w:r>
    </w:p>
    <w:p w:rsidR="001031A2" w:rsidRPr="00DB01AF" w:rsidRDefault="001031A2" w:rsidP="001031A2">
      <w:pPr>
        <w:pStyle w:val="Odstavecseseznamem"/>
        <w:keepNext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B01AF">
        <w:rPr>
          <w:rFonts w:ascii="Times New Roman" w:hAnsi="Times New Roman" w:cs="Times New Roman"/>
          <w:sz w:val="24"/>
          <w:szCs w:val="24"/>
        </w:rPr>
        <w:t>plní dle potřeby další úkoly související s</w:t>
      </w:r>
      <w:r w:rsidR="009E1246" w:rsidRPr="00DB01AF">
        <w:rPr>
          <w:rFonts w:ascii="Times New Roman" w:hAnsi="Times New Roman" w:cs="Times New Roman"/>
          <w:sz w:val="24"/>
          <w:szCs w:val="24"/>
        </w:rPr>
        <w:t xml:space="preserve"> přípravou a </w:t>
      </w:r>
      <w:r w:rsidRPr="00DB01AF">
        <w:rPr>
          <w:rFonts w:ascii="Times New Roman" w:hAnsi="Times New Roman" w:cs="Times New Roman"/>
          <w:sz w:val="24"/>
          <w:szCs w:val="24"/>
        </w:rPr>
        <w:t>realizací integrované strategie.</w:t>
      </w:r>
    </w:p>
    <w:p w:rsidR="00341A7C" w:rsidRDefault="001031A2" w:rsidP="00341A7C">
      <w:pPr>
        <w:pStyle w:val="Normlnweb"/>
        <w:spacing w:before="24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1C4B03">
        <w:rPr>
          <w:b/>
          <w:bCs/>
        </w:rPr>
        <w:t>V</w:t>
      </w:r>
      <w:r>
        <w:rPr>
          <w:b/>
          <w:bCs/>
        </w:rPr>
        <w:t xml:space="preserve"> Svolávání a jednání </w:t>
      </w:r>
      <w:r w:rsidR="00406BF8">
        <w:rPr>
          <w:b/>
          <w:bCs/>
        </w:rPr>
        <w:t>Přípravného</w:t>
      </w:r>
      <w:r w:rsidR="000A339E">
        <w:rPr>
          <w:b/>
          <w:bCs/>
        </w:rPr>
        <w:t xml:space="preserve"> řídicího</w:t>
      </w:r>
      <w:r>
        <w:rPr>
          <w:b/>
          <w:bCs/>
        </w:rPr>
        <w:t xml:space="preserve"> výboru</w:t>
      </w:r>
    </w:p>
    <w:p w:rsidR="00052D59" w:rsidRDefault="00052D59" w:rsidP="00052D59">
      <w:pPr>
        <w:pStyle w:val="Normlnweb"/>
        <w:spacing w:before="0" w:beforeAutospacing="0" w:after="0" w:afterAutospacing="0"/>
        <w:rPr>
          <w:b/>
          <w:bCs/>
        </w:rPr>
      </w:pPr>
    </w:p>
    <w:p w:rsidR="00052D59" w:rsidRPr="00052D59" w:rsidRDefault="00052D59" w:rsidP="00052D59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052D59" w:rsidRPr="00DB01AF" w:rsidRDefault="00052D59" w:rsidP="00254A0B">
      <w:pPr>
        <w:pStyle w:val="Normlnweb"/>
        <w:numPr>
          <w:ilvl w:val="1"/>
          <w:numId w:val="2"/>
        </w:numPr>
        <w:spacing w:before="120" w:beforeAutospacing="0" w:after="0" w:afterAutospacing="0"/>
        <w:ind w:left="567" w:hanging="567"/>
        <w:jc w:val="both"/>
      </w:pPr>
      <w:r w:rsidRPr="00DB01AF">
        <w:t xml:space="preserve">Jednání </w:t>
      </w:r>
      <w:r w:rsidR="00406BF8" w:rsidRPr="00DB01AF">
        <w:t>Přípravného</w:t>
      </w:r>
      <w:r w:rsidRPr="00DB01AF">
        <w:t xml:space="preserve"> </w:t>
      </w:r>
      <w:r w:rsidR="000A339E">
        <w:t xml:space="preserve">řídicího </w:t>
      </w:r>
      <w:r w:rsidRPr="00DB01AF">
        <w:t xml:space="preserve">výboru se konají dle potřeby, nejméně však 2 x ročně. Jednání svolává předseda </w:t>
      </w:r>
      <w:r w:rsidR="00DB01AF" w:rsidRPr="00DB01AF">
        <w:t>Přípravného</w:t>
      </w:r>
      <w:r w:rsidR="000A339E">
        <w:t xml:space="preserve"> řídicího</w:t>
      </w:r>
      <w:r w:rsidR="00DB01AF" w:rsidRPr="00DB01AF">
        <w:t xml:space="preserve"> </w:t>
      </w:r>
      <w:r w:rsidRPr="00DB01AF">
        <w:t xml:space="preserve">výboru, manažer integrované strategie nebo pověřená osoba. Pozvánka se zasílá obvykle elektronicky minimálně 5 pracovních dnů před termínem konání schůze. Součástí pozvánky je program jednání </w:t>
      </w:r>
      <w:r w:rsidR="00DB01AF" w:rsidRPr="00DB01AF">
        <w:t xml:space="preserve">Přípravného </w:t>
      </w:r>
      <w:r w:rsidR="000A339E">
        <w:t xml:space="preserve">řídicího </w:t>
      </w:r>
      <w:r w:rsidRPr="00DB01AF">
        <w:t xml:space="preserve">výboru, případně podklady pro diskuzi. </w:t>
      </w:r>
      <w:r w:rsidR="00254A0B" w:rsidRPr="00DB01AF">
        <w:t xml:space="preserve">Program jednání navrhuje předseda </w:t>
      </w:r>
      <w:r w:rsidR="00DB01AF" w:rsidRPr="00DB01AF">
        <w:t>Přípravného</w:t>
      </w:r>
      <w:r w:rsidR="000A339E">
        <w:t xml:space="preserve"> řídicího</w:t>
      </w:r>
      <w:r w:rsidR="00DB01AF" w:rsidRPr="00DB01AF">
        <w:t xml:space="preserve"> </w:t>
      </w:r>
      <w:r w:rsidR="00254A0B" w:rsidRPr="00DB01AF">
        <w:t>výboru, p</w:t>
      </w:r>
      <w:r w:rsidRPr="00DB01AF">
        <w:t xml:space="preserve">odklady pro jednání zajišťují členové </w:t>
      </w:r>
      <w:r w:rsidR="00DB01AF" w:rsidRPr="00DB01AF">
        <w:t xml:space="preserve">Přípravného </w:t>
      </w:r>
      <w:r w:rsidR="000A339E">
        <w:t xml:space="preserve">řídicího </w:t>
      </w:r>
      <w:r w:rsidRPr="00DB01AF">
        <w:t xml:space="preserve">výboru, případně pověřená osoba. </w:t>
      </w:r>
    </w:p>
    <w:p w:rsidR="00052D59" w:rsidRPr="00DB01AF" w:rsidRDefault="00052D59" w:rsidP="00254A0B">
      <w:pPr>
        <w:pStyle w:val="Normlnweb"/>
        <w:numPr>
          <w:ilvl w:val="1"/>
          <w:numId w:val="2"/>
        </w:numPr>
        <w:spacing w:before="120" w:beforeAutospacing="0" w:after="0" w:afterAutospacing="0"/>
        <w:ind w:left="567" w:hanging="567"/>
        <w:jc w:val="both"/>
      </w:pPr>
      <w:r w:rsidRPr="00DB01AF">
        <w:t xml:space="preserve">Schůze </w:t>
      </w:r>
      <w:r w:rsidR="00DB01AF" w:rsidRPr="00DB01AF">
        <w:t xml:space="preserve">Přípravného </w:t>
      </w:r>
      <w:r w:rsidR="000A339E">
        <w:t xml:space="preserve">řídicího </w:t>
      </w:r>
      <w:r w:rsidRPr="00DB01AF">
        <w:t>výboru je neveřejná.</w:t>
      </w:r>
    </w:p>
    <w:p w:rsidR="00254A0B" w:rsidRPr="00DB01AF" w:rsidRDefault="00052D59" w:rsidP="00254A0B">
      <w:pPr>
        <w:pStyle w:val="Normlnweb"/>
        <w:numPr>
          <w:ilvl w:val="1"/>
          <w:numId w:val="2"/>
        </w:numPr>
        <w:spacing w:before="120" w:beforeAutospacing="0" w:after="0" w:afterAutospacing="0"/>
        <w:ind w:left="567" w:hanging="567"/>
        <w:jc w:val="both"/>
      </w:pPr>
      <w:r w:rsidRPr="00DB01AF">
        <w:t xml:space="preserve">Jednání </w:t>
      </w:r>
      <w:r w:rsidR="00DB01AF" w:rsidRPr="00DB01AF">
        <w:t>Přípravného</w:t>
      </w:r>
      <w:r w:rsidR="000A339E">
        <w:t xml:space="preserve"> řídicího</w:t>
      </w:r>
      <w:r w:rsidR="00DB01AF" w:rsidRPr="00DB01AF">
        <w:t xml:space="preserve"> </w:t>
      </w:r>
      <w:r w:rsidRPr="00DB01AF">
        <w:t xml:space="preserve">výboru vede předseda, pokud k tomu neurčí jiného člena </w:t>
      </w:r>
      <w:r w:rsidR="00DB01AF" w:rsidRPr="00DB01AF">
        <w:t xml:space="preserve">Přípravného </w:t>
      </w:r>
      <w:r w:rsidR="000A339E">
        <w:t xml:space="preserve">řídicího </w:t>
      </w:r>
      <w:r w:rsidRPr="00DB01AF">
        <w:t xml:space="preserve">výboru. </w:t>
      </w:r>
      <w:r w:rsidR="00DB01AF" w:rsidRPr="00DB01AF">
        <w:t>Přípravn</w:t>
      </w:r>
      <w:r w:rsidR="000A339E">
        <w:t>ý</w:t>
      </w:r>
      <w:r w:rsidR="00DB01AF" w:rsidRPr="00DB01AF">
        <w:t xml:space="preserve"> </w:t>
      </w:r>
      <w:r w:rsidR="000A339E">
        <w:t xml:space="preserve">řídicí </w:t>
      </w:r>
      <w:r w:rsidRPr="00DB01AF">
        <w:t xml:space="preserve">výbor je usnášeníschopný, pokud je </w:t>
      </w:r>
      <w:r w:rsidRPr="00DB01AF">
        <w:lastRenderedPageBreak/>
        <w:t xml:space="preserve">přítomna alespoň polovina všech jeho členů s hlasovacím právem. Člen </w:t>
      </w:r>
      <w:r w:rsidR="00DB01AF" w:rsidRPr="00DB01AF">
        <w:t xml:space="preserve">Přípravného </w:t>
      </w:r>
      <w:r w:rsidR="000A339E">
        <w:t xml:space="preserve">řídicího </w:t>
      </w:r>
      <w:r w:rsidRPr="00DB01AF">
        <w:t xml:space="preserve">výboru může být zastoupen jinou osobou jen s předchozím souhlasem předsedy. </w:t>
      </w:r>
    </w:p>
    <w:p w:rsidR="00254A0B" w:rsidRPr="00DB01AF" w:rsidRDefault="00052D59" w:rsidP="00254A0B">
      <w:pPr>
        <w:pStyle w:val="Normlnweb"/>
        <w:numPr>
          <w:ilvl w:val="1"/>
          <w:numId w:val="2"/>
        </w:numPr>
        <w:spacing w:before="120" w:beforeAutospacing="0" w:after="0" w:afterAutospacing="0"/>
        <w:ind w:left="567" w:hanging="567"/>
        <w:jc w:val="both"/>
      </w:pPr>
      <w:r w:rsidRPr="00DB01AF">
        <w:t xml:space="preserve">Program jednání navrhuje předseda </w:t>
      </w:r>
      <w:r w:rsidR="00DB01AF" w:rsidRPr="00DB01AF">
        <w:t xml:space="preserve">Přípravného </w:t>
      </w:r>
      <w:r w:rsidR="000A339E">
        <w:t xml:space="preserve">řídicího </w:t>
      </w:r>
      <w:r w:rsidR="00DB01AF" w:rsidRPr="00DB01AF">
        <w:t>výboru</w:t>
      </w:r>
      <w:r w:rsidRPr="00DB01AF">
        <w:t>. Při sestavování programu respektuje požadavky oprávněných</w:t>
      </w:r>
      <w:r w:rsidR="008F7555" w:rsidRPr="00DB01AF">
        <w:t xml:space="preserve"> osob.</w:t>
      </w:r>
    </w:p>
    <w:p w:rsidR="00254A0B" w:rsidRPr="00DB01AF" w:rsidRDefault="00052D59" w:rsidP="00254A0B">
      <w:pPr>
        <w:pStyle w:val="Normlnweb"/>
        <w:numPr>
          <w:ilvl w:val="1"/>
          <w:numId w:val="2"/>
        </w:numPr>
        <w:spacing w:before="120" w:beforeAutospacing="0" w:after="0" w:afterAutospacing="0"/>
        <w:ind w:left="567" w:hanging="567"/>
        <w:jc w:val="both"/>
      </w:pPr>
      <w:r w:rsidRPr="00DB01AF">
        <w:t xml:space="preserve">K přijetí usnesení </w:t>
      </w:r>
      <w:r w:rsidR="00DB01AF" w:rsidRPr="00DB01AF">
        <w:t xml:space="preserve">Přípravného </w:t>
      </w:r>
      <w:r w:rsidR="000A339E">
        <w:t xml:space="preserve">řídicího </w:t>
      </w:r>
      <w:r w:rsidRPr="00DB01AF">
        <w:t xml:space="preserve">výboru je </w:t>
      </w:r>
      <w:r w:rsidR="00A012C6" w:rsidRPr="00DB01AF">
        <w:t>po</w:t>
      </w:r>
      <w:r w:rsidRPr="00DB01AF">
        <w:t>třeba souhlasu prosté většiny přítomných členů s hlasovacím právem.</w:t>
      </w:r>
      <w:r w:rsidR="00254A0B" w:rsidRPr="00DB01AF">
        <w:t xml:space="preserve"> Při rovnosti hlasů rozhoduje hlas předsedy </w:t>
      </w:r>
      <w:r w:rsidR="00DB01AF" w:rsidRPr="00DB01AF">
        <w:t xml:space="preserve">Přípravného </w:t>
      </w:r>
      <w:r w:rsidR="000A339E">
        <w:t xml:space="preserve">řídicího </w:t>
      </w:r>
      <w:r w:rsidR="00254A0B" w:rsidRPr="00DB01AF">
        <w:t xml:space="preserve">výboru. </w:t>
      </w:r>
      <w:r w:rsidRPr="00DB01AF">
        <w:t xml:space="preserve">V případě nutnosti, kterou posuzuje předseda, je možné rozhodovat elektronickou cestou, tzv. per </w:t>
      </w:r>
      <w:proofErr w:type="spellStart"/>
      <w:r w:rsidRPr="00DB01AF">
        <w:t>rollam</w:t>
      </w:r>
      <w:proofErr w:type="spellEnd"/>
      <w:r w:rsidRPr="00DB01AF">
        <w:t xml:space="preserve">. </w:t>
      </w:r>
    </w:p>
    <w:p w:rsidR="001C4B03" w:rsidRPr="00DB01AF" w:rsidRDefault="001C4B03" w:rsidP="001C4B03">
      <w:pPr>
        <w:pStyle w:val="Normlnweb"/>
        <w:numPr>
          <w:ilvl w:val="1"/>
          <w:numId w:val="2"/>
        </w:numPr>
        <w:spacing w:before="120" w:beforeAutospacing="0" w:after="0" w:afterAutospacing="0"/>
        <w:ind w:left="567" w:hanging="567"/>
        <w:jc w:val="both"/>
      </w:pPr>
      <w:r w:rsidRPr="00DB01AF">
        <w:t xml:space="preserve">Schválená </w:t>
      </w:r>
      <w:r w:rsidR="00041284" w:rsidRPr="00DB01AF">
        <w:t>u</w:t>
      </w:r>
      <w:r w:rsidRPr="00DB01AF">
        <w:t xml:space="preserve">snesení </w:t>
      </w:r>
      <w:r w:rsidR="00DB01AF" w:rsidRPr="00DB01AF">
        <w:t xml:space="preserve">Přípravný </w:t>
      </w:r>
      <w:r w:rsidR="000A339E">
        <w:t xml:space="preserve">řídicí </w:t>
      </w:r>
      <w:r w:rsidRPr="00DB01AF">
        <w:t>výbor vyhotovuje písemně</w:t>
      </w:r>
      <w:r w:rsidR="008F7555" w:rsidRPr="00DB01AF">
        <w:t>.</w:t>
      </w:r>
    </w:p>
    <w:p w:rsidR="00254A0B" w:rsidRPr="00DB01AF" w:rsidRDefault="00052D59" w:rsidP="00254A0B">
      <w:pPr>
        <w:pStyle w:val="Normlnweb"/>
        <w:numPr>
          <w:ilvl w:val="1"/>
          <w:numId w:val="2"/>
        </w:numPr>
        <w:spacing w:before="120" w:beforeAutospacing="0" w:after="0" w:afterAutospacing="0"/>
        <w:ind w:left="567" w:hanging="567"/>
        <w:jc w:val="both"/>
      </w:pPr>
      <w:r w:rsidRPr="00DB01AF">
        <w:t>Organizační zabezpečení, přípravu nebo koordinaci zpracování podkladů pro jednání zabezpečuje manažer integrované strategie</w:t>
      </w:r>
      <w:r w:rsidR="00254A0B" w:rsidRPr="00DB01AF">
        <w:t>, případně pověřená osoba</w:t>
      </w:r>
      <w:r w:rsidRPr="00DB01AF">
        <w:t xml:space="preserve">. </w:t>
      </w:r>
    </w:p>
    <w:p w:rsidR="00052D59" w:rsidRPr="00DB01AF" w:rsidRDefault="00254A0B" w:rsidP="001C4B03">
      <w:pPr>
        <w:pStyle w:val="Normlnweb"/>
        <w:numPr>
          <w:ilvl w:val="1"/>
          <w:numId w:val="2"/>
        </w:numPr>
        <w:spacing w:before="120" w:beforeAutospacing="0" w:after="120" w:afterAutospacing="0"/>
        <w:ind w:left="567" w:hanging="567"/>
        <w:jc w:val="both"/>
      </w:pPr>
      <w:r w:rsidRPr="00DB01AF">
        <w:t>Z</w:t>
      </w:r>
      <w:r w:rsidR="00052D59" w:rsidRPr="00DB01AF">
        <w:t xml:space="preserve">ápis z jednání, který obsahuje datum jednání, prezenční listinu a přijatá usnesení, termíny a jasně stanovené </w:t>
      </w:r>
      <w:r w:rsidRPr="00DB01AF">
        <w:t>odpovědnosti zpracovává manažer integrované strategie, případně pověřená osoba.</w:t>
      </w:r>
      <w:r w:rsidR="00052D59" w:rsidRPr="00DB01AF">
        <w:t xml:space="preserve"> Zápis je elektronicky rozeslán nejpozději do 1 týdne ode dne jednání </w:t>
      </w:r>
      <w:r w:rsidR="00DB01AF" w:rsidRPr="00DB01AF">
        <w:t xml:space="preserve">Přípravného </w:t>
      </w:r>
      <w:r w:rsidR="000A339E">
        <w:t xml:space="preserve">řídicího </w:t>
      </w:r>
      <w:r w:rsidR="00052D59" w:rsidRPr="00DB01AF">
        <w:t>výboru.</w:t>
      </w:r>
    </w:p>
    <w:p w:rsidR="00052D59" w:rsidRPr="00DB01AF" w:rsidRDefault="00052D59" w:rsidP="001C4B03">
      <w:pPr>
        <w:pStyle w:val="Normlnweb"/>
        <w:numPr>
          <w:ilvl w:val="1"/>
          <w:numId w:val="2"/>
        </w:numPr>
        <w:spacing w:before="120" w:beforeAutospacing="0" w:after="120" w:afterAutospacing="0"/>
        <w:ind w:left="567" w:hanging="567"/>
        <w:jc w:val="both"/>
      </w:pPr>
      <w:r w:rsidRPr="00DB01AF">
        <w:t xml:space="preserve">Nesouhlasí-li člen </w:t>
      </w:r>
      <w:r w:rsidR="00DB01AF" w:rsidRPr="00DB01AF">
        <w:t xml:space="preserve">Přípravného </w:t>
      </w:r>
      <w:r w:rsidR="000A339E">
        <w:t xml:space="preserve">řídicího </w:t>
      </w:r>
      <w:r w:rsidRPr="00DB01AF">
        <w:t>výboru s obsahem zápisu, je oprávněn vzné</w:t>
      </w:r>
      <w:r w:rsidR="001C4B03" w:rsidRPr="00DB01AF">
        <w:t xml:space="preserve">st námitku, a to elektronicky </w:t>
      </w:r>
      <w:r w:rsidRPr="00DB01AF">
        <w:t xml:space="preserve">do </w:t>
      </w:r>
      <w:r w:rsidR="00566261" w:rsidRPr="00DB01AF">
        <w:t>sedmi</w:t>
      </w:r>
      <w:r w:rsidRPr="00DB01AF">
        <w:t xml:space="preserve"> dnů ode dne, kdy mu byl doručen zápis ve smyslu předchozího bodu. O námitce informuje manažer integrované strategie bez zbytečného odkladu os</w:t>
      </w:r>
      <w:r w:rsidR="001C4B03" w:rsidRPr="00DB01AF">
        <w:t xml:space="preserve">tatní členy </w:t>
      </w:r>
      <w:r w:rsidR="00DB01AF" w:rsidRPr="00DB01AF">
        <w:t xml:space="preserve">Přípravného </w:t>
      </w:r>
      <w:r w:rsidR="000A339E">
        <w:t xml:space="preserve">řídicího </w:t>
      </w:r>
      <w:r w:rsidRPr="00DB01AF">
        <w:t xml:space="preserve">výboru. O oprávněnosti námitky proti zápisu rozhodne s konečnou platností </w:t>
      </w:r>
      <w:r w:rsidR="00DB01AF" w:rsidRPr="00DB01AF">
        <w:t>Přípravný</w:t>
      </w:r>
      <w:r w:rsidRPr="00DB01AF">
        <w:t xml:space="preserve"> </w:t>
      </w:r>
      <w:r w:rsidR="000A339E">
        <w:t xml:space="preserve">řídicí </w:t>
      </w:r>
      <w:r w:rsidRPr="00DB01AF">
        <w:t>výbor na svém nejbližším jednání.</w:t>
      </w:r>
    </w:p>
    <w:p w:rsidR="00341A7C" w:rsidRPr="00CE71DB" w:rsidRDefault="00341A7C" w:rsidP="00341A7C">
      <w:pPr>
        <w:pStyle w:val="Normlnweb"/>
        <w:spacing w:before="240" w:beforeAutospacing="0" w:after="0" w:afterAutospacing="0"/>
        <w:jc w:val="center"/>
      </w:pPr>
      <w:r w:rsidRPr="00CE71DB">
        <w:rPr>
          <w:b/>
          <w:bCs/>
        </w:rPr>
        <w:t xml:space="preserve">Článek </w:t>
      </w:r>
      <w:r w:rsidR="001C4B03">
        <w:rPr>
          <w:b/>
          <w:bCs/>
        </w:rPr>
        <w:t>V</w:t>
      </w:r>
      <w:r w:rsidR="00A8340B">
        <w:rPr>
          <w:b/>
          <w:bCs/>
        </w:rPr>
        <w:t>I</w:t>
      </w:r>
      <w:r w:rsidR="001C4B03">
        <w:rPr>
          <w:b/>
          <w:bCs/>
        </w:rPr>
        <w:t> Závěrečná ustanovení</w:t>
      </w:r>
    </w:p>
    <w:p w:rsidR="001C4B03" w:rsidRDefault="00341A7C" w:rsidP="001C4B03">
      <w:pPr>
        <w:pStyle w:val="Normlnweb"/>
        <w:spacing w:before="0" w:beforeAutospacing="0" w:after="0" w:afterAutospacing="0"/>
      </w:pPr>
      <w:r w:rsidRPr="00CE71DB">
        <w:t> </w:t>
      </w:r>
    </w:p>
    <w:p w:rsidR="001C4B03" w:rsidRPr="001C4B03" w:rsidRDefault="001C4B03" w:rsidP="001C4B03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1C4B03" w:rsidRDefault="001C4B03" w:rsidP="001C4B03">
      <w:pPr>
        <w:pStyle w:val="Normlnweb"/>
        <w:numPr>
          <w:ilvl w:val="1"/>
          <w:numId w:val="2"/>
        </w:numPr>
        <w:spacing w:before="120" w:beforeAutospacing="0" w:after="120" w:afterAutospacing="0"/>
        <w:ind w:left="567" w:hanging="567"/>
        <w:jc w:val="both"/>
      </w:pPr>
      <w:r w:rsidRPr="004023B3">
        <w:t xml:space="preserve">Jednací řád byl schválen </w:t>
      </w:r>
      <w:r w:rsidR="00DB01AF">
        <w:t>Přípravným</w:t>
      </w:r>
      <w:r w:rsidR="008F7555">
        <w:t xml:space="preserve"> </w:t>
      </w:r>
      <w:r w:rsidR="000A339E">
        <w:t xml:space="preserve">řídicím </w:t>
      </w:r>
      <w:r w:rsidR="008F7555">
        <w:t>výborem</w:t>
      </w:r>
      <w:r>
        <w:t xml:space="preserve"> d</w:t>
      </w:r>
      <w:r w:rsidRPr="004023B3">
        <w:t>ne</w:t>
      </w:r>
      <w:r w:rsidR="00DB01AF">
        <w:t xml:space="preserve"> </w:t>
      </w:r>
      <w:r w:rsidR="00EC4EAC">
        <w:t>3. 12. 2020</w:t>
      </w:r>
      <w:r w:rsidRPr="004023B3">
        <w:t xml:space="preserve"> a je platný </w:t>
      </w:r>
      <w:r>
        <w:t xml:space="preserve">a účinný </w:t>
      </w:r>
      <w:r w:rsidRPr="004023B3">
        <w:t>od data schválení</w:t>
      </w:r>
      <w:r>
        <w:t>.</w:t>
      </w:r>
    </w:p>
    <w:p w:rsidR="001C4B03" w:rsidRDefault="001C4B03" w:rsidP="001C4B03">
      <w:pPr>
        <w:pStyle w:val="Normlnweb"/>
        <w:numPr>
          <w:ilvl w:val="1"/>
          <w:numId w:val="2"/>
        </w:numPr>
        <w:spacing w:before="120" w:beforeAutospacing="0" w:after="120" w:afterAutospacing="0"/>
        <w:ind w:left="567" w:hanging="567"/>
        <w:jc w:val="both"/>
      </w:pPr>
      <w:r w:rsidRPr="00CE71DB">
        <w:t>Změny, doplňky nebo vydání nového jedn</w:t>
      </w:r>
      <w:r>
        <w:t>acího řádu podléh</w:t>
      </w:r>
      <w:r w:rsidR="00E06A6C">
        <w:t>ají</w:t>
      </w:r>
      <w:r>
        <w:t xml:space="preserve"> </w:t>
      </w:r>
      <w:r w:rsidR="00241CB8">
        <w:t xml:space="preserve">schválení </w:t>
      </w:r>
      <w:r w:rsidR="00DB01AF">
        <w:t>Přípravného</w:t>
      </w:r>
      <w:r w:rsidR="000A339E">
        <w:t xml:space="preserve"> řídicího </w:t>
      </w:r>
      <w:r w:rsidR="00241CB8">
        <w:t>výboru</w:t>
      </w:r>
      <w:r w:rsidRPr="00CE71DB">
        <w:t>.</w:t>
      </w:r>
    </w:p>
    <w:p w:rsidR="001C4B03" w:rsidRDefault="001C4B03" w:rsidP="001C4B03">
      <w:pPr>
        <w:pStyle w:val="Normlnweb"/>
        <w:spacing w:before="120" w:beforeAutospacing="0" w:after="120" w:afterAutospacing="0"/>
        <w:ind w:left="567"/>
        <w:jc w:val="both"/>
      </w:pPr>
    </w:p>
    <w:p w:rsidR="00A8340B" w:rsidRDefault="00A8340B" w:rsidP="00A8340B">
      <w:pPr>
        <w:widowControl w:val="0"/>
        <w:jc w:val="both"/>
        <w:rPr>
          <w:rFonts w:ascii="Times New Roman" w:hAnsi="Times New Roman" w:cs="Times New Roman"/>
          <w:sz w:val="24"/>
        </w:rPr>
      </w:pPr>
      <w:r w:rsidRPr="00A8340B">
        <w:rPr>
          <w:rFonts w:ascii="Times New Roman" w:hAnsi="Times New Roman" w:cs="Times New Roman"/>
          <w:sz w:val="24"/>
        </w:rPr>
        <w:t xml:space="preserve">V Karlových Varech dne </w:t>
      </w:r>
      <w:r w:rsidR="00EC4EAC">
        <w:rPr>
          <w:rFonts w:ascii="Times New Roman" w:hAnsi="Times New Roman" w:cs="Times New Roman"/>
          <w:sz w:val="24"/>
        </w:rPr>
        <w:t>3. 12. 2020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8340B" w:rsidRDefault="00A8340B" w:rsidP="00A8340B">
      <w:pPr>
        <w:widowControl w:val="0"/>
        <w:jc w:val="both"/>
        <w:rPr>
          <w:rFonts w:ascii="Times New Roman" w:hAnsi="Times New Roman" w:cs="Times New Roman"/>
          <w:sz w:val="24"/>
        </w:rPr>
      </w:pPr>
    </w:p>
    <w:p w:rsidR="00A8340B" w:rsidRPr="005409A7" w:rsidRDefault="00A8340B" w:rsidP="00A8340B">
      <w:pPr>
        <w:widowControl w:val="0"/>
        <w:jc w:val="both"/>
        <w:rPr>
          <w:rFonts w:cs="Arial"/>
        </w:rPr>
      </w:pPr>
      <w:r w:rsidRPr="00312D0A">
        <w:rPr>
          <w:rFonts w:cs="Arial"/>
        </w:rPr>
        <w:tab/>
      </w:r>
      <w:r w:rsidRPr="00312D0A">
        <w:rPr>
          <w:rFonts w:cs="Arial"/>
        </w:rPr>
        <w:tab/>
        <w:t xml:space="preserve">     </w:t>
      </w:r>
      <w:r>
        <w:rPr>
          <w:rFonts w:cs="Arial"/>
        </w:rPr>
        <w:tab/>
      </w:r>
      <w:r>
        <w:rPr>
          <w:rFonts w:cs="Arial"/>
        </w:rPr>
        <w:tab/>
      </w:r>
      <w:r w:rsidRPr="00312D0A">
        <w:rPr>
          <w:rFonts w:cs="Arial"/>
        </w:rPr>
        <w:t xml:space="preserve"> </w:t>
      </w:r>
    </w:p>
    <w:p w:rsidR="00A8340B" w:rsidRDefault="00A8340B" w:rsidP="001C4B03">
      <w:pPr>
        <w:pStyle w:val="Normlnweb"/>
        <w:spacing w:before="120" w:beforeAutospacing="0" w:after="120" w:afterAutospacing="0"/>
        <w:ind w:left="567"/>
        <w:jc w:val="both"/>
      </w:pPr>
    </w:p>
    <w:sectPr w:rsidR="00A8340B" w:rsidSect="00E71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EC2"/>
    <w:multiLevelType w:val="hybridMultilevel"/>
    <w:tmpl w:val="C0947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16EC7"/>
    <w:multiLevelType w:val="multilevel"/>
    <w:tmpl w:val="34F635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4C154A"/>
    <w:multiLevelType w:val="multilevel"/>
    <w:tmpl w:val="BA18A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7C"/>
    <w:rsid w:val="00041284"/>
    <w:rsid w:val="00052D59"/>
    <w:rsid w:val="000A339E"/>
    <w:rsid w:val="000A5593"/>
    <w:rsid w:val="000D5149"/>
    <w:rsid w:val="000D6A57"/>
    <w:rsid w:val="000E036F"/>
    <w:rsid w:val="001031A2"/>
    <w:rsid w:val="00136911"/>
    <w:rsid w:val="00142CB0"/>
    <w:rsid w:val="00167255"/>
    <w:rsid w:val="001C4B03"/>
    <w:rsid w:val="001D2922"/>
    <w:rsid w:val="00224F48"/>
    <w:rsid w:val="00241CB8"/>
    <w:rsid w:val="00254A0B"/>
    <w:rsid w:val="00303721"/>
    <w:rsid w:val="00311D4A"/>
    <w:rsid w:val="00341A7C"/>
    <w:rsid w:val="003C15B3"/>
    <w:rsid w:val="003D0E1E"/>
    <w:rsid w:val="003E72B0"/>
    <w:rsid w:val="003F3183"/>
    <w:rsid w:val="00400B5B"/>
    <w:rsid w:val="00406BF8"/>
    <w:rsid w:val="004351AF"/>
    <w:rsid w:val="00452C4E"/>
    <w:rsid w:val="00566261"/>
    <w:rsid w:val="005C324F"/>
    <w:rsid w:val="005F0F53"/>
    <w:rsid w:val="00612CEB"/>
    <w:rsid w:val="00620EDF"/>
    <w:rsid w:val="00632253"/>
    <w:rsid w:val="0078508F"/>
    <w:rsid w:val="007E26A0"/>
    <w:rsid w:val="007E51E9"/>
    <w:rsid w:val="008F0D46"/>
    <w:rsid w:val="008F7555"/>
    <w:rsid w:val="00923EC1"/>
    <w:rsid w:val="00985A49"/>
    <w:rsid w:val="009E1246"/>
    <w:rsid w:val="00A012C6"/>
    <w:rsid w:val="00A8340B"/>
    <w:rsid w:val="00B5286E"/>
    <w:rsid w:val="00B679B0"/>
    <w:rsid w:val="00BE2F1D"/>
    <w:rsid w:val="00C07B99"/>
    <w:rsid w:val="00C30A81"/>
    <w:rsid w:val="00C42FF8"/>
    <w:rsid w:val="00D16A07"/>
    <w:rsid w:val="00DB01AF"/>
    <w:rsid w:val="00E06A6C"/>
    <w:rsid w:val="00E30B78"/>
    <w:rsid w:val="00E71689"/>
    <w:rsid w:val="00EC4EAC"/>
    <w:rsid w:val="00EE35F9"/>
    <w:rsid w:val="00F0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8EF6"/>
  <w15:docId w15:val="{25AE66FF-72A0-431E-A863-433FA6DD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aliases w:val="Tabulka-PK"/>
    <w:basedOn w:val="Normln"/>
    <w:next w:val="Normln"/>
    <w:link w:val="TitulekChar"/>
    <w:uiPriority w:val="35"/>
    <w:unhideWhenUsed/>
    <w:qFormat/>
    <w:rsid w:val="00341A7C"/>
    <w:pPr>
      <w:spacing w:before="120" w:after="60" w:line="240" w:lineRule="auto"/>
      <w:jc w:val="both"/>
    </w:pPr>
    <w:rPr>
      <w:rFonts w:ascii="Times New Roman" w:hAnsi="Times New Roman" w:cs="Segoe UI"/>
      <w:b/>
      <w:bCs/>
      <w:sz w:val="20"/>
      <w:szCs w:val="18"/>
    </w:rPr>
  </w:style>
  <w:style w:type="paragraph" w:styleId="Normlnweb">
    <w:name w:val="Normal (Web)"/>
    <w:basedOn w:val="Normln"/>
    <w:uiPriority w:val="99"/>
    <w:rsid w:val="0034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tulekChar">
    <w:name w:val="Titulek Char"/>
    <w:aliases w:val="Tabulka-PK Char"/>
    <w:link w:val="Titulek"/>
    <w:uiPriority w:val="35"/>
    <w:locked/>
    <w:rsid w:val="00341A7C"/>
    <w:rPr>
      <w:rFonts w:ascii="Times New Roman" w:hAnsi="Times New Roman" w:cs="Segoe UI"/>
      <w:b/>
      <w:bCs/>
      <w:sz w:val="20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031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031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1031A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03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31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31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31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31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1A2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0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6D2C-B7E7-4652-9724-E3E73221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913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PROCES</dc:creator>
  <cp:lastModifiedBy>Heroutová Blanka</cp:lastModifiedBy>
  <cp:revision>10</cp:revision>
  <cp:lastPrinted>2020-09-02T09:55:00Z</cp:lastPrinted>
  <dcterms:created xsi:type="dcterms:W3CDTF">2020-09-02T09:03:00Z</dcterms:created>
  <dcterms:modified xsi:type="dcterms:W3CDTF">2021-01-05T10:18:00Z</dcterms:modified>
</cp:coreProperties>
</file>